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B480B" w14:textId="77777777" w:rsidR="00EE5A3B" w:rsidRPr="00787407" w:rsidRDefault="00EE5A3B" w:rsidP="0017144B">
      <w:pPr>
        <w:spacing w:after="0" w:line="276" w:lineRule="auto"/>
        <w:jc w:val="center"/>
        <w:rPr>
          <w:b/>
          <w:bCs/>
          <w:sz w:val="20"/>
          <w:szCs w:val="20"/>
        </w:rPr>
      </w:pPr>
    </w:p>
    <w:p w14:paraId="23CA9F2B" w14:textId="77777777" w:rsidR="0017144B" w:rsidRDefault="0017144B" w:rsidP="0017144B">
      <w:pPr>
        <w:spacing w:after="0" w:line="276" w:lineRule="auto"/>
        <w:jc w:val="center"/>
        <w:rPr>
          <w:b/>
          <w:bCs/>
        </w:rPr>
      </w:pPr>
    </w:p>
    <w:p w14:paraId="785CD58A" w14:textId="3E823226" w:rsidR="006E21EF" w:rsidRPr="0017144B" w:rsidRDefault="00EE5A3B" w:rsidP="0017144B">
      <w:pPr>
        <w:spacing w:after="0" w:line="276" w:lineRule="auto"/>
        <w:jc w:val="center"/>
        <w:rPr>
          <w:b/>
          <w:bCs/>
        </w:rPr>
      </w:pPr>
      <w:r w:rsidRPr="0017144B">
        <w:rPr>
          <w:b/>
          <w:bCs/>
        </w:rPr>
        <w:t>ESTUDIO DE OPINION PUBLICA SOBRE LIBERTADES POLÍTICAS Y LAS OPORTUNIDADES ECONÓMICAS</w:t>
      </w:r>
    </w:p>
    <w:p w14:paraId="54766D81" w14:textId="77777777" w:rsidR="00787407" w:rsidRDefault="00787407" w:rsidP="0017144B">
      <w:pPr>
        <w:spacing w:after="0" w:line="276" w:lineRule="auto"/>
        <w:jc w:val="center"/>
        <w:rPr>
          <w:b/>
          <w:bCs/>
        </w:rPr>
      </w:pPr>
    </w:p>
    <w:p w14:paraId="745A126F" w14:textId="77777777" w:rsidR="0017144B" w:rsidRPr="00EE5A3B" w:rsidRDefault="0017144B" w:rsidP="0017144B">
      <w:pPr>
        <w:spacing w:after="0" w:line="276" w:lineRule="auto"/>
        <w:jc w:val="center"/>
        <w:rPr>
          <w:b/>
          <w:bCs/>
        </w:rPr>
      </w:pPr>
    </w:p>
    <w:p w14:paraId="1C7909F1" w14:textId="2F5EAED6" w:rsidR="00492C34" w:rsidRPr="000D1D8F" w:rsidRDefault="001B2E00" w:rsidP="0017144B">
      <w:pPr>
        <w:spacing w:after="0" w:line="276" w:lineRule="auto"/>
        <w:jc w:val="center"/>
        <w:rPr>
          <w:b/>
          <w:bCs/>
          <w:sz w:val="28"/>
          <w:szCs w:val="28"/>
        </w:rPr>
      </w:pPr>
      <w:r w:rsidRPr="000D1D8F">
        <w:rPr>
          <w:b/>
          <w:bCs/>
          <w:sz w:val="28"/>
          <w:szCs w:val="28"/>
        </w:rPr>
        <w:t>9 de cada 10 argentinos considera</w:t>
      </w:r>
      <w:r w:rsidR="00EE5A3B">
        <w:rPr>
          <w:b/>
          <w:bCs/>
          <w:sz w:val="28"/>
          <w:szCs w:val="28"/>
        </w:rPr>
        <w:t>n</w:t>
      </w:r>
      <w:r w:rsidRPr="000D1D8F">
        <w:rPr>
          <w:b/>
          <w:bCs/>
          <w:sz w:val="28"/>
          <w:szCs w:val="28"/>
        </w:rPr>
        <w:t xml:space="preserve"> que las oportunidades económicas actuales del país son insuficientes, superando por casi 30 puntos a la media global (64% versus 90%).</w:t>
      </w:r>
      <w:r w:rsidR="000D1D8F" w:rsidRPr="000D1D8F">
        <w:rPr>
          <w:b/>
          <w:bCs/>
          <w:sz w:val="28"/>
          <w:szCs w:val="28"/>
        </w:rPr>
        <w:t xml:space="preserve"> </w:t>
      </w:r>
      <w:r w:rsidRPr="000D1D8F">
        <w:rPr>
          <w:b/>
          <w:bCs/>
          <w:sz w:val="28"/>
          <w:szCs w:val="28"/>
        </w:rPr>
        <w:t xml:space="preserve">Con esta cifra, Argentina aparece en el top 3 de países con </w:t>
      </w:r>
      <w:r w:rsidR="006241B5" w:rsidRPr="000D1D8F">
        <w:rPr>
          <w:b/>
          <w:bCs/>
          <w:sz w:val="28"/>
          <w:szCs w:val="28"/>
        </w:rPr>
        <w:t xml:space="preserve">peor evaluación al respecto. </w:t>
      </w:r>
    </w:p>
    <w:p w14:paraId="3C647A8F" w14:textId="77777777" w:rsidR="000D1D8F" w:rsidRPr="000D1D8F" w:rsidRDefault="000D1D8F" w:rsidP="0017144B">
      <w:pPr>
        <w:spacing w:after="0" w:line="276" w:lineRule="auto"/>
        <w:jc w:val="both"/>
      </w:pPr>
    </w:p>
    <w:p w14:paraId="6A7F314C" w14:textId="355C1097" w:rsidR="00320DB9" w:rsidRDefault="00320DB9" w:rsidP="0017144B">
      <w:pPr>
        <w:spacing w:after="0" w:line="276" w:lineRule="auto"/>
        <w:jc w:val="both"/>
        <w:rPr>
          <w:b/>
          <w:bCs/>
        </w:rPr>
      </w:pPr>
      <w:r>
        <w:t xml:space="preserve">Este es el resultado de un </w:t>
      </w:r>
      <w:r w:rsidRPr="00320DB9">
        <w:rPr>
          <w:b/>
          <w:bCs/>
        </w:rPr>
        <w:t xml:space="preserve">estudio global de opinión pública realizado en </w:t>
      </w:r>
      <w:r w:rsidR="002A6004">
        <w:rPr>
          <w:b/>
          <w:bCs/>
        </w:rPr>
        <w:t xml:space="preserve">una serie de </w:t>
      </w:r>
      <w:r w:rsidRPr="00320DB9">
        <w:rPr>
          <w:b/>
          <w:bCs/>
        </w:rPr>
        <w:t>países</w:t>
      </w:r>
      <w:r w:rsidR="006241B5">
        <w:rPr>
          <w:b/>
          <w:bCs/>
        </w:rPr>
        <w:t>,</w:t>
      </w:r>
      <w:r w:rsidRPr="00320DB9">
        <w:rPr>
          <w:b/>
          <w:bCs/>
        </w:rPr>
        <w:t xml:space="preserve"> que abarcan aproximadamente dos tercios de la población mundial</w:t>
      </w:r>
      <w:r>
        <w:t xml:space="preserve"> (y cerca del 90% de los países que son libres de realizar y publicar estudios de opinión). </w:t>
      </w:r>
      <w:proofErr w:type="spellStart"/>
      <w:r w:rsidRPr="00320DB9">
        <w:rPr>
          <w:b/>
          <w:bCs/>
        </w:rPr>
        <w:t>Voices</w:t>
      </w:r>
      <w:proofErr w:type="spellEnd"/>
      <w:r w:rsidRPr="00320DB9">
        <w:rPr>
          <w:b/>
          <w:bCs/>
        </w:rPr>
        <w:t>! realizó el estudio en Argentina.</w:t>
      </w:r>
    </w:p>
    <w:p w14:paraId="6E4DF94A" w14:textId="77777777" w:rsidR="0017144B" w:rsidRDefault="0017144B" w:rsidP="0017144B">
      <w:pPr>
        <w:spacing w:after="0" w:line="276" w:lineRule="auto"/>
        <w:jc w:val="both"/>
      </w:pPr>
    </w:p>
    <w:p w14:paraId="1C456A95" w14:textId="3E5B2BCF" w:rsidR="006241B5" w:rsidRDefault="00320DB9" w:rsidP="0017144B">
      <w:pPr>
        <w:spacing w:after="0" w:line="276" w:lineRule="auto"/>
        <w:jc w:val="both"/>
        <w:rPr>
          <w:b/>
          <w:bCs/>
        </w:rPr>
      </w:pPr>
      <w:r w:rsidRPr="00753131">
        <w:rPr>
          <w:b/>
          <w:bCs/>
        </w:rPr>
        <w:t xml:space="preserve">Se le pidió a los encuestados de distintos países del mundo que evaluaran </w:t>
      </w:r>
      <w:r w:rsidR="00753131" w:rsidRPr="00753131">
        <w:rPr>
          <w:b/>
          <w:bCs/>
        </w:rPr>
        <w:t xml:space="preserve">como suficientes o insuficientes a </w:t>
      </w:r>
      <w:r w:rsidRPr="00753131">
        <w:rPr>
          <w:b/>
          <w:bCs/>
        </w:rPr>
        <w:t>las libertades políticas y las oportunidades económicas actuales de su país</w:t>
      </w:r>
      <w:r w:rsidR="00753131" w:rsidRPr="00753131">
        <w:rPr>
          <w:b/>
          <w:bCs/>
        </w:rPr>
        <w:t xml:space="preserve">. </w:t>
      </w:r>
    </w:p>
    <w:p w14:paraId="5840A239" w14:textId="77777777" w:rsidR="0017144B" w:rsidRPr="0017144B" w:rsidRDefault="0017144B" w:rsidP="0017144B">
      <w:pPr>
        <w:spacing w:after="0" w:line="276" w:lineRule="auto"/>
        <w:jc w:val="both"/>
        <w:rPr>
          <w:b/>
          <w:bCs/>
        </w:rPr>
      </w:pPr>
    </w:p>
    <w:p w14:paraId="1CAEE53A" w14:textId="77777777" w:rsidR="0017144B" w:rsidRDefault="0017144B" w:rsidP="0017144B">
      <w:pPr>
        <w:spacing w:after="0" w:line="276" w:lineRule="auto"/>
        <w:jc w:val="both"/>
        <w:rPr>
          <w:b/>
          <w:bCs/>
          <w:color w:val="C00000"/>
        </w:rPr>
      </w:pPr>
    </w:p>
    <w:p w14:paraId="34A7E5E8" w14:textId="2F48F36A" w:rsidR="006241B5" w:rsidRDefault="00001BBB" w:rsidP="0017144B">
      <w:pPr>
        <w:spacing w:after="0" w:line="276" w:lineRule="auto"/>
        <w:jc w:val="both"/>
        <w:rPr>
          <w:b/>
          <w:bCs/>
          <w:color w:val="C00000"/>
        </w:rPr>
      </w:pPr>
      <w:r w:rsidRPr="006241B5">
        <w:rPr>
          <w:b/>
          <w:bCs/>
          <w:color w:val="C00000"/>
        </w:rPr>
        <w:t>5 DE CADA 10 CIUDADANOS A NIVEL GLOBAL EVALÚA</w:t>
      </w:r>
      <w:r w:rsidR="00EE5A3B">
        <w:rPr>
          <w:b/>
          <w:bCs/>
          <w:color w:val="C00000"/>
        </w:rPr>
        <w:t>N</w:t>
      </w:r>
      <w:r w:rsidRPr="006241B5">
        <w:rPr>
          <w:b/>
          <w:bCs/>
          <w:color w:val="C00000"/>
        </w:rPr>
        <w:t xml:space="preserve"> COMO INSUFICIENTES LAS LIBERTADES POLÍTICAS ACTUALES DE SU PAÍS. </w:t>
      </w:r>
    </w:p>
    <w:p w14:paraId="228B9AB5" w14:textId="77777777" w:rsidR="0017144B" w:rsidRPr="006241B5" w:rsidRDefault="0017144B" w:rsidP="0017144B">
      <w:pPr>
        <w:spacing w:after="0" w:line="276" w:lineRule="auto"/>
        <w:jc w:val="both"/>
        <w:rPr>
          <w:b/>
          <w:bCs/>
          <w:color w:val="C00000"/>
        </w:rPr>
      </w:pPr>
    </w:p>
    <w:p w14:paraId="5D5C974E" w14:textId="76C26A86" w:rsidR="00EC385F" w:rsidRDefault="006241B5" w:rsidP="0017144B">
      <w:pPr>
        <w:spacing w:after="0" w:line="276" w:lineRule="auto"/>
        <w:jc w:val="both"/>
        <w:rPr>
          <w:b/>
          <w:bCs/>
        </w:rPr>
      </w:pPr>
      <w:r>
        <w:rPr>
          <w:b/>
          <w:bCs/>
        </w:rPr>
        <w:t xml:space="preserve">El 42% de los encuestados a nivel global señala que las libertades políticas </w:t>
      </w:r>
      <w:r w:rsidR="0028563F">
        <w:rPr>
          <w:b/>
          <w:bCs/>
        </w:rPr>
        <w:t xml:space="preserve">actuales </w:t>
      </w:r>
      <w:r>
        <w:rPr>
          <w:b/>
          <w:bCs/>
        </w:rPr>
        <w:t xml:space="preserve">de su país son suficientes, mientras que el 50% las considera insuficientes y el 8% restante responde que no sabe. </w:t>
      </w:r>
    </w:p>
    <w:p w14:paraId="7C9F86E4" w14:textId="77777777" w:rsidR="0017144B" w:rsidRDefault="0017144B" w:rsidP="0017144B">
      <w:pPr>
        <w:spacing w:after="0" w:line="276" w:lineRule="auto"/>
        <w:jc w:val="both"/>
      </w:pPr>
    </w:p>
    <w:p w14:paraId="2FFE80A3" w14:textId="1731299D" w:rsidR="00FB0B95" w:rsidRDefault="00473B3C" w:rsidP="0017144B">
      <w:pPr>
        <w:spacing w:after="0" w:line="276" w:lineRule="auto"/>
        <w:jc w:val="both"/>
      </w:pPr>
      <w:r w:rsidRPr="008D0F4C">
        <w:rPr>
          <w:b/>
          <w:bCs/>
        </w:rPr>
        <w:t xml:space="preserve">Las actitudes positivas en torno a las libertades políticas actuales predominan en regiones como Asia Meridional </w:t>
      </w:r>
      <w:r>
        <w:t>(</w:t>
      </w:r>
      <w:r w:rsidR="00FB0B95">
        <w:t>56% menciones positivas versus 38% negativas),</w:t>
      </w:r>
      <w:r>
        <w:t xml:space="preserve"> </w:t>
      </w:r>
      <w:r w:rsidRPr="008D0F4C">
        <w:rPr>
          <w:b/>
          <w:bCs/>
        </w:rPr>
        <w:t>la UE</w:t>
      </w:r>
      <w:r>
        <w:t xml:space="preserve"> </w:t>
      </w:r>
      <w:r w:rsidR="00FB0B95">
        <w:t>(53% vs. 39%</w:t>
      </w:r>
      <w:r>
        <w:t xml:space="preserve">) </w:t>
      </w:r>
      <w:r w:rsidRPr="008D0F4C">
        <w:rPr>
          <w:b/>
          <w:bCs/>
        </w:rPr>
        <w:t xml:space="preserve">y América del Norte </w:t>
      </w:r>
      <w:r>
        <w:t xml:space="preserve">(49% </w:t>
      </w:r>
      <w:r w:rsidR="00FB0B95">
        <w:t>vs.</w:t>
      </w:r>
      <w:r>
        <w:t xml:space="preserve"> 39%</w:t>
      </w:r>
      <w:r w:rsidR="00FB0B95">
        <w:t>),</w:t>
      </w:r>
      <w:r>
        <w:t xml:space="preserve"> </w:t>
      </w:r>
      <w:r w:rsidRPr="008D0F4C">
        <w:rPr>
          <w:b/>
          <w:bCs/>
        </w:rPr>
        <w:t xml:space="preserve">mientras que las negativas prevalecen en </w:t>
      </w:r>
      <w:r w:rsidR="0028563F" w:rsidRPr="008D0F4C">
        <w:rPr>
          <w:b/>
          <w:bCs/>
        </w:rPr>
        <w:t xml:space="preserve">África Subsahariana </w:t>
      </w:r>
      <w:r w:rsidR="0028563F">
        <w:t>(68% vs. 29%)</w:t>
      </w:r>
      <w:r w:rsidR="0028563F">
        <w:t xml:space="preserve">, </w:t>
      </w:r>
      <w:r w:rsidRPr="008D0F4C">
        <w:rPr>
          <w:b/>
          <w:bCs/>
        </w:rPr>
        <w:t>América Latina</w:t>
      </w:r>
      <w:r>
        <w:t xml:space="preserve"> (</w:t>
      </w:r>
      <w:r w:rsidR="00FB0B95">
        <w:t xml:space="preserve">67% negativas vs. </w:t>
      </w:r>
      <w:r>
        <w:t xml:space="preserve">27% </w:t>
      </w:r>
      <w:r w:rsidR="00FB0B95">
        <w:t>positivas</w:t>
      </w:r>
      <w:r>
        <w:t>)</w:t>
      </w:r>
      <w:r w:rsidR="0028563F">
        <w:t xml:space="preserve"> </w:t>
      </w:r>
      <w:r w:rsidRPr="008D0F4C">
        <w:rPr>
          <w:b/>
          <w:bCs/>
        </w:rPr>
        <w:t xml:space="preserve">y </w:t>
      </w:r>
      <w:r w:rsidR="00FB0B95">
        <w:rPr>
          <w:b/>
          <w:bCs/>
        </w:rPr>
        <w:t>Asia Occidental</w:t>
      </w:r>
      <w:r w:rsidRPr="008D0F4C">
        <w:rPr>
          <w:b/>
          <w:bCs/>
        </w:rPr>
        <w:t xml:space="preserve"> </w:t>
      </w:r>
      <w:r>
        <w:t>(</w:t>
      </w:r>
      <w:r w:rsidR="00FB0B95">
        <w:t xml:space="preserve">67% vs. </w:t>
      </w:r>
      <w:r>
        <w:t>29%</w:t>
      </w:r>
      <w:r w:rsidR="00FB0B95">
        <w:t>).</w:t>
      </w:r>
    </w:p>
    <w:p w14:paraId="11963E20" w14:textId="77777777" w:rsidR="0017144B" w:rsidRDefault="0017144B" w:rsidP="0017144B">
      <w:pPr>
        <w:spacing w:after="0" w:line="276" w:lineRule="auto"/>
        <w:jc w:val="both"/>
      </w:pPr>
    </w:p>
    <w:p w14:paraId="3F503030" w14:textId="25608AA7" w:rsidR="00FB0B95" w:rsidRDefault="00473B3C" w:rsidP="0017144B">
      <w:pPr>
        <w:spacing w:after="0" w:line="276" w:lineRule="auto"/>
        <w:jc w:val="both"/>
      </w:pPr>
      <w:r w:rsidRPr="00FC5A05">
        <w:rPr>
          <w:b/>
          <w:bCs/>
        </w:rPr>
        <w:t>En Europa,</w:t>
      </w:r>
      <w:r w:rsidR="00FB0B95">
        <w:rPr>
          <w:b/>
          <w:bCs/>
        </w:rPr>
        <w:t xml:space="preserve"> Portugal, Suecia y Suiza se destacan por ser los países con la valoración más positiva respecto a las libertades políticas actuales del país</w:t>
      </w:r>
      <w:r w:rsidR="00FC5A05">
        <w:rPr>
          <w:b/>
          <w:bCs/>
        </w:rPr>
        <w:t xml:space="preserve">: </w:t>
      </w:r>
      <w:r w:rsidR="00FC5A05" w:rsidRPr="00FC5A05">
        <w:t>el</w:t>
      </w:r>
      <w:r w:rsidR="00FB0B95" w:rsidRPr="00FC5A05">
        <w:t xml:space="preserve"> 74% de los suecos </w:t>
      </w:r>
      <w:r w:rsidR="00FC5A05" w:rsidRPr="00FC5A05">
        <w:t xml:space="preserve">y portugueses y el 69% de los suizos las evalúan como positivas, versus el 17% y 23% (respectivamente) que cree que son insuficientes. </w:t>
      </w:r>
      <w:r w:rsidR="00FC5A05">
        <w:t xml:space="preserve">Todos ellos se encuentran </w:t>
      </w:r>
      <w:r w:rsidR="00FC5A05" w:rsidRPr="00FC5A05">
        <w:rPr>
          <w:b/>
          <w:bCs/>
        </w:rPr>
        <w:t>por encima de la media global en cuanto a valoración positiva.</w:t>
      </w:r>
      <w:r w:rsidR="00FC5A05">
        <w:t xml:space="preserve"> </w:t>
      </w:r>
    </w:p>
    <w:p w14:paraId="08ABC978" w14:textId="77777777" w:rsidR="0017144B" w:rsidRDefault="0017144B" w:rsidP="0017144B">
      <w:pPr>
        <w:spacing w:after="0" w:line="276" w:lineRule="auto"/>
        <w:jc w:val="both"/>
      </w:pPr>
    </w:p>
    <w:p w14:paraId="34D01BED" w14:textId="2187D838" w:rsidR="00BE38BF" w:rsidRDefault="00C00464" w:rsidP="0017144B">
      <w:pPr>
        <w:spacing w:after="0" w:line="276" w:lineRule="auto"/>
        <w:jc w:val="both"/>
      </w:pPr>
      <w:r w:rsidRPr="00023E75">
        <w:rPr>
          <w:b/>
          <w:bCs/>
        </w:rPr>
        <w:t xml:space="preserve">En cambio, los países con las libertades políticas más limitadas según sus ciudadanos parecen ser </w:t>
      </w:r>
      <w:r w:rsidR="00320DB9" w:rsidRPr="00023E75">
        <w:rPr>
          <w:b/>
          <w:bCs/>
        </w:rPr>
        <w:t>Nigeria</w:t>
      </w:r>
      <w:r w:rsidR="00320DB9">
        <w:t xml:space="preserve"> (</w:t>
      </w:r>
      <w:r w:rsidR="00FC5A05">
        <w:t xml:space="preserve">el 86% las evalúa como insuficientes versus el </w:t>
      </w:r>
      <w:r w:rsidR="00320DB9">
        <w:t>13%</w:t>
      </w:r>
      <w:r w:rsidR="00FC5A05">
        <w:t xml:space="preserve"> que señala que son suficientes</w:t>
      </w:r>
      <w:r w:rsidR="00320DB9">
        <w:t>),</w:t>
      </w:r>
      <w:r w:rsidR="00FC5A05">
        <w:t xml:space="preserve"> </w:t>
      </w:r>
      <w:r w:rsidR="00FC5A05" w:rsidRPr="00FC5A05">
        <w:rPr>
          <w:b/>
          <w:bCs/>
        </w:rPr>
        <w:t>Libia</w:t>
      </w:r>
      <w:r w:rsidR="00FC5A05">
        <w:t xml:space="preserve"> (83% vs. 14%), </w:t>
      </w:r>
      <w:r w:rsidR="00320DB9" w:rsidRPr="00023E75">
        <w:rPr>
          <w:b/>
          <w:bCs/>
        </w:rPr>
        <w:t>Perú</w:t>
      </w:r>
      <w:r w:rsidR="00FC5A05">
        <w:rPr>
          <w:b/>
          <w:bCs/>
        </w:rPr>
        <w:t xml:space="preserve"> </w:t>
      </w:r>
      <w:r w:rsidR="00FC5A05" w:rsidRPr="00FC5A05">
        <w:t>(82% vs. 13%),</w:t>
      </w:r>
      <w:r w:rsidR="00FC5A05">
        <w:rPr>
          <w:b/>
          <w:bCs/>
        </w:rPr>
        <w:t xml:space="preserve"> </w:t>
      </w:r>
      <w:r w:rsidR="00320DB9" w:rsidRPr="00023E75">
        <w:rPr>
          <w:b/>
          <w:bCs/>
        </w:rPr>
        <w:t>Ecuador</w:t>
      </w:r>
      <w:r w:rsidR="00320DB9">
        <w:t xml:space="preserve"> (</w:t>
      </w:r>
      <w:r w:rsidR="00FC5A05">
        <w:t>78% vs. 16%</w:t>
      </w:r>
      <w:r w:rsidR="00320DB9">
        <w:t xml:space="preserve">), </w:t>
      </w:r>
      <w:r w:rsidR="00320DB9" w:rsidRPr="00023E75">
        <w:rPr>
          <w:b/>
          <w:bCs/>
        </w:rPr>
        <w:t>Bosnia y Herzegovina</w:t>
      </w:r>
      <w:r w:rsidR="00320DB9">
        <w:t xml:space="preserve"> </w:t>
      </w:r>
      <w:r w:rsidR="00FC5A05">
        <w:t xml:space="preserve">(77% vs. </w:t>
      </w:r>
      <w:r w:rsidR="00FC5A05">
        <w:lastRenderedPageBreak/>
        <w:t>16%</w:t>
      </w:r>
      <w:r w:rsidR="00320DB9">
        <w:t xml:space="preserve">) </w:t>
      </w:r>
      <w:r w:rsidR="00320DB9" w:rsidRPr="00023E75">
        <w:rPr>
          <w:b/>
          <w:bCs/>
        </w:rPr>
        <w:t xml:space="preserve">y Sierra Leona </w:t>
      </w:r>
      <w:r w:rsidR="00320DB9">
        <w:t>(</w:t>
      </w:r>
      <w:r w:rsidR="00FC5A05">
        <w:t xml:space="preserve">75% vs. 25%). Todos ellos se encuentran </w:t>
      </w:r>
      <w:r w:rsidR="00FC5A05" w:rsidRPr="00FC5A05">
        <w:rPr>
          <w:b/>
          <w:bCs/>
        </w:rPr>
        <w:t>por encima de la media global en cuanto a valoración negativa.</w:t>
      </w:r>
      <w:r w:rsidR="00FC5A05">
        <w:t xml:space="preserve"> </w:t>
      </w:r>
    </w:p>
    <w:p w14:paraId="1F7FE52A" w14:textId="77777777" w:rsidR="0017144B" w:rsidRPr="00787407" w:rsidRDefault="0017144B" w:rsidP="0017144B">
      <w:pPr>
        <w:spacing w:after="0" w:line="276" w:lineRule="auto"/>
        <w:jc w:val="both"/>
      </w:pPr>
    </w:p>
    <w:p w14:paraId="070A6D84" w14:textId="20B817BF" w:rsidR="00EC4C33" w:rsidRDefault="00EC4C33" w:rsidP="0017144B">
      <w:pPr>
        <w:spacing w:after="0" w:line="276" w:lineRule="auto"/>
        <w:jc w:val="both"/>
        <w:rPr>
          <w:b/>
          <w:bCs/>
        </w:rPr>
      </w:pPr>
      <w:r w:rsidRPr="00EC4C33">
        <w:rPr>
          <w:b/>
          <w:bCs/>
        </w:rPr>
        <w:t>De los 4 países de América Latina en donde se realizó el estudio, Perú se destaca por contar con la opinión más crítica</w:t>
      </w:r>
      <w:r>
        <w:t xml:space="preserve"> </w:t>
      </w:r>
      <w:r w:rsidRPr="00BE38BF">
        <w:rPr>
          <w:b/>
          <w:bCs/>
        </w:rPr>
        <w:t>respecto a las libertades políticas del país de hoy en día</w:t>
      </w:r>
      <w:r>
        <w:t xml:space="preserve"> (el 82% de los peruanos las evalúa como insuficientes, versus el 13% que cree que son suficientes). </w:t>
      </w:r>
      <w:r w:rsidRPr="00EC4C33">
        <w:rPr>
          <w:b/>
          <w:bCs/>
        </w:rPr>
        <w:t>Luego le sigue Ecuador</w:t>
      </w:r>
      <w:r>
        <w:t xml:space="preserve"> (7</w:t>
      </w:r>
      <w:r w:rsidR="004772E4">
        <w:t xml:space="preserve">8% negativas vs. 16% positivas), </w:t>
      </w:r>
      <w:r w:rsidR="004772E4" w:rsidRPr="00BE38BF">
        <w:rPr>
          <w:b/>
          <w:bCs/>
        </w:rPr>
        <w:t xml:space="preserve">ambos </w:t>
      </w:r>
      <w:r w:rsidR="00E42516" w:rsidRPr="00BE38BF">
        <w:rPr>
          <w:b/>
          <w:bCs/>
        </w:rPr>
        <w:t>países</w:t>
      </w:r>
      <w:r w:rsidR="004772E4" w:rsidRPr="00BE38BF">
        <w:rPr>
          <w:b/>
          <w:bCs/>
        </w:rPr>
        <w:t xml:space="preserve"> al tope del ranking pesimista.</w:t>
      </w:r>
      <w:r w:rsidR="004772E4">
        <w:t xml:space="preserve"> Luego, </w:t>
      </w:r>
      <w:r w:rsidRPr="00EC4C33">
        <w:rPr>
          <w:b/>
          <w:bCs/>
        </w:rPr>
        <w:t>Argentina</w:t>
      </w:r>
      <w:r>
        <w:t xml:space="preserve"> (58% y 34%) </w:t>
      </w:r>
      <w:r w:rsidRPr="00EC4C33">
        <w:rPr>
          <w:b/>
          <w:bCs/>
        </w:rPr>
        <w:t>y México</w:t>
      </w:r>
      <w:r>
        <w:t xml:space="preserve"> (56% vs. 3</w:t>
      </w:r>
      <w:r w:rsidR="004772E4">
        <w:t>9%)</w:t>
      </w:r>
      <w:r w:rsidR="00BE38BF">
        <w:t xml:space="preserve">, </w:t>
      </w:r>
      <w:r w:rsidR="004772E4" w:rsidRPr="00BE38BF">
        <w:rPr>
          <w:b/>
          <w:bCs/>
        </w:rPr>
        <w:t>con cifras también mayores que el promedio global.</w:t>
      </w:r>
      <w:r w:rsidRPr="00BE38BF">
        <w:rPr>
          <w:b/>
          <w:bCs/>
        </w:rPr>
        <w:t xml:space="preserve"> </w:t>
      </w:r>
      <w:r w:rsidRPr="00EC4C33">
        <w:rPr>
          <w:b/>
          <w:bCs/>
        </w:rPr>
        <w:t>Todas estas cifras muestran un descontento generalizado en la región en relación con las libertades políticas</w:t>
      </w:r>
      <w:r>
        <w:rPr>
          <w:b/>
          <w:bCs/>
        </w:rPr>
        <w:t xml:space="preserve"> actuales. </w:t>
      </w:r>
    </w:p>
    <w:p w14:paraId="4A49B6E7" w14:textId="77777777" w:rsidR="0017144B" w:rsidRPr="00EC4C33" w:rsidRDefault="0017144B" w:rsidP="0017144B">
      <w:pPr>
        <w:spacing w:after="0" w:line="276" w:lineRule="auto"/>
        <w:jc w:val="both"/>
        <w:rPr>
          <w:b/>
          <w:bCs/>
        </w:rPr>
      </w:pPr>
    </w:p>
    <w:p w14:paraId="6F913849" w14:textId="09F6C2ED" w:rsidR="00320DB9" w:rsidRDefault="00B4526F" w:rsidP="0017144B">
      <w:pPr>
        <w:spacing w:after="0" w:line="276" w:lineRule="auto"/>
        <w:jc w:val="both"/>
      </w:pPr>
      <w:r w:rsidRPr="009E7595">
        <w:t>En cuanto al análisis sociodemográfico a nivel global, los resultados evidencian que</w:t>
      </w:r>
      <w:r w:rsidRPr="00B4526F">
        <w:rPr>
          <w:b/>
          <w:bCs/>
        </w:rPr>
        <w:t xml:space="preserve"> l</w:t>
      </w:r>
      <w:r w:rsidR="00320DB9" w:rsidRPr="00B4526F">
        <w:rPr>
          <w:b/>
          <w:bCs/>
        </w:rPr>
        <w:t>as mujeres</w:t>
      </w:r>
      <w:r w:rsidR="00023E75" w:rsidRPr="00B4526F">
        <w:rPr>
          <w:b/>
          <w:bCs/>
        </w:rPr>
        <w:t xml:space="preserve">, los </w:t>
      </w:r>
      <w:r w:rsidRPr="00B4526F">
        <w:rPr>
          <w:b/>
          <w:bCs/>
        </w:rPr>
        <w:t>grupos de menor edad</w:t>
      </w:r>
      <w:r w:rsidR="00023E75" w:rsidRPr="00B4526F">
        <w:rPr>
          <w:b/>
          <w:bCs/>
        </w:rPr>
        <w:t xml:space="preserve">, menores ingresos y menor nivel educativo son más propensos a señalar que </w:t>
      </w:r>
      <w:r w:rsidR="00320DB9" w:rsidRPr="00B4526F">
        <w:rPr>
          <w:b/>
          <w:bCs/>
        </w:rPr>
        <w:t>sus libertades políticas son insuficientes</w:t>
      </w:r>
      <w:r w:rsidR="00023E75" w:rsidRPr="00B4526F">
        <w:rPr>
          <w:b/>
          <w:bCs/>
        </w:rPr>
        <w:t xml:space="preserve">. </w:t>
      </w:r>
      <w:r w:rsidR="00320DB9" w:rsidRPr="00B4526F">
        <w:rPr>
          <w:b/>
          <w:bCs/>
        </w:rPr>
        <w:t xml:space="preserve">Por el contrario, los grupos de mayor edad, educación e ingresos se muestran más </w:t>
      </w:r>
      <w:r w:rsidR="00023E75" w:rsidRPr="00B4526F">
        <w:rPr>
          <w:b/>
          <w:bCs/>
        </w:rPr>
        <w:t>s</w:t>
      </w:r>
      <w:r w:rsidR="00320DB9" w:rsidRPr="00B4526F">
        <w:rPr>
          <w:b/>
          <w:bCs/>
        </w:rPr>
        <w:t>atisfechos</w:t>
      </w:r>
      <w:r w:rsidR="00226149">
        <w:rPr>
          <w:b/>
          <w:bCs/>
        </w:rPr>
        <w:t xml:space="preserve"> </w:t>
      </w:r>
      <w:r w:rsidR="00226149" w:rsidRPr="003B7C53">
        <w:t xml:space="preserve">con este tipo de libertades. </w:t>
      </w:r>
    </w:p>
    <w:p w14:paraId="0EE8B551" w14:textId="77777777" w:rsidR="0017144B" w:rsidRPr="003B7C53" w:rsidRDefault="0017144B" w:rsidP="0017144B">
      <w:pPr>
        <w:spacing w:after="0" w:line="276" w:lineRule="auto"/>
        <w:jc w:val="both"/>
      </w:pPr>
    </w:p>
    <w:p w14:paraId="371D81DA" w14:textId="3FD3D4CB" w:rsidR="006347CC" w:rsidRDefault="00671BD1" w:rsidP="0017144B">
      <w:pPr>
        <w:spacing w:after="0" w:line="276" w:lineRule="auto"/>
        <w:jc w:val="both"/>
        <w:rPr>
          <w:b/>
          <w:bCs/>
        </w:rPr>
      </w:pPr>
      <w:r w:rsidRPr="009E7595">
        <w:rPr>
          <w:b/>
          <w:bCs/>
        </w:rPr>
        <w:t xml:space="preserve">En Argentina, según los resultados del estudio de </w:t>
      </w:r>
      <w:proofErr w:type="spellStart"/>
      <w:r w:rsidRPr="009E7595">
        <w:rPr>
          <w:b/>
          <w:bCs/>
        </w:rPr>
        <w:t>Voices</w:t>
      </w:r>
      <w:proofErr w:type="spellEnd"/>
      <w:r w:rsidRPr="009E7595">
        <w:rPr>
          <w:b/>
          <w:bCs/>
        </w:rPr>
        <w:t xml:space="preserve">, </w:t>
      </w:r>
      <w:r w:rsidR="009E7595" w:rsidRPr="009E7595">
        <w:rPr>
          <w:b/>
          <w:bCs/>
        </w:rPr>
        <w:t>6 de cada 10</w:t>
      </w:r>
      <w:r w:rsidRPr="009E7595">
        <w:rPr>
          <w:b/>
          <w:bCs/>
        </w:rPr>
        <w:t xml:space="preserve"> encuestados (58%) evalúa como insuficientes a las libertades políticas actuales del país</w:t>
      </w:r>
      <w:r w:rsidR="009E7595">
        <w:rPr>
          <w:b/>
          <w:bCs/>
        </w:rPr>
        <w:t>,</w:t>
      </w:r>
      <w:r w:rsidR="009E7595" w:rsidRPr="00BE38BF">
        <w:t xml:space="preserve"> </w:t>
      </w:r>
      <w:r w:rsidRPr="00BE38BF">
        <w:t>supera</w:t>
      </w:r>
      <w:r w:rsidR="009E7595" w:rsidRPr="00BE38BF">
        <w:t xml:space="preserve">ndo </w:t>
      </w:r>
      <w:r w:rsidRPr="00BE38BF">
        <w:t xml:space="preserve">por 8 puntos </w:t>
      </w:r>
      <w:r w:rsidR="009E7595" w:rsidRPr="00BE38BF">
        <w:t>el promedio global de</w:t>
      </w:r>
      <w:r w:rsidRPr="00BE38BF">
        <w:t xml:space="preserve"> menciones negativas </w:t>
      </w:r>
      <w:r w:rsidR="009E7595" w:rsidRPr="00BE38BF">
        <w:t xml:space="preserve">(50%). </w:t>
      </w:r>
      <w:r w:rsidRPr="009E7595">
        <w:rPr>
          <w:b/>
          <w:bCs/>
        </w:rPr>
        <w:t xml:space="preserve">En cambio, 3 de cada 10 argentinos (34%) señala que las libertades políticas son suficientes, y el 8% restante </w:t>
      </w:r>
      <w:r w:rsidR="009E7595">
        <w:rPr>
          <w:b/>
          <w:bCs/>
        </w:rPr>
        <w:t xml:space="preserve">responde que no sabe. </w:t>
      </w:r>
    </w:p>
    <w:p w14:paraId="32B48F0B" w14:textId="77777777" w:rsidR="0017144B" w:rsidRPr="009E7595" w:rsidRDefault="0017144B" w:rsidP="0017144B">
      <w:pPr>
        <w:spacing w:after="0" w:line="276" w:lineRule="auto"/>
        <w:jc w:val="both"/>
        <w:rPr>
          <w:b/>
          <w:bCs/>
        </w:rPr>
      </w:pPr>
    </w:p>
    <w:p w14:paraId="0AC0A1F1" w14:textId="69F01BA3" w:rsidR="006347CC" w:rsidRDefault="003B7C53" w:rsidP="0017144B">
      <w:pPr>
        <w:spacing w:after="0" w:line="276" w:lineRule="auto"/>
        <w:jc w:val="both"/>
      </w:pPr>
      <w:r>
        <w:rPr>
          <w:b/>
          <w:bCs/>
        </w:rPr>
        <w:t>En nuestro país</w:t>
      </w:r>
      <w:r w:rsidR="00071EC8" w:rsidRPr="007C416A">
        <w:rPr>
          <w:b/>
          <w:bCs/>
        </w:rPr>
        <w:t xml:space="preserve">, la evaluación negativa crece </w:t>
      </w:r>
      <w:r w:rsidR="00975C95" w:rsidRPr="007C416A">
        <w:rPr>
          <w:b/>
          <w:bCs/>
        </w:rPr>
        <w:t>ligeramente</w:t>
      </w:r>
      <w:r w:rsidR="005246A1" w:rsidRPr="007C416A">
        <w:rPr>
          <w:b/>
          <w:bCs/>
        </w:rPr>
        <w:t xml:space="preserve"> </w:t>
      </w:r>
      <w:r w:rsidR="00071EC8" w:rsidRPr="007C416A">
        <w:rPr>
          <w:b/>
          <w:bCs/>
        </w:rPr>
        <w:t xml:space="preserve">entre las mujeres </w:t>
      </w:r>
      <w:r w:rsidR="00071EC8">
        <w:t>(</w:t>
      </w:r>
      <w:r w:rsidR="005246A1">
        <w:t xml:space="preserve">el </w:t>
      </w:r>
      <w:r w:rsidR="00071EC8">
        <w:t>63% evalúa</w:t>
      </w:r>
      <w:r w:rsidR="005246A1">
        <w:t xml:space="preserve"> a las libertades políticas actuales del país</w:t>
      </w:r>
      <w:r w:rsidR="00071EC8">
        <w:t xml:space="preserve"> como insuficientes, versus el 53% de los hombres)</w:t>
      </w:r>
      <w:r>
        <w:t xml:space="preserve">, </w:t>
      </w:r>
      <w:r w:rsidR="005246A1" w:rsidRPr="007C416A">
        <w:rPr>
          <w:b/>
          <w:bCs/>
        </w:rPr>
        <w:t xml:space="preserve">en el segmento etario de 25 a 34 años y </w:t>
      </w:r>
      <w:r w:rsidR="00975C95" w:rsidRPr="007C416A">
        <w:rPr>
          <w:b/>
          <w:bCs/>
        </w:rPr>
        <w:t>entre los mayores</w:t>
      </w:r>
      <w:r w:rsidR="005246A1" w:rsidRPr="007C416A">
        <w:rPr>
          <w:b/>
          <w:bCs/>
        </w:rPr>
        <w:t xml:space="preserve"> de 65 años </w:t>
      </w:r>
      <w:r w:rsidR="005246A1">
        <w:t xml:space="preserve">(64% y 63%, respectivamente, versus 51% en adultos de 50 a 64 años y 53% en jóvenes de 16 a 24). </w:t>
      </w:r>
      <w:r w:rsidR="00B32C82" w:rsidRPr="007C416A">
        <w:rPr>
          <w:b/>
          <w:bCs/>
        </w:rPr>
        <w:t xml:space="preserve">Además, cabe destacar que </w:t>
      </w:r>
      <w:r w:rsidR="00975C95" w:rsidRPr="007C416A">
        <w:rPr>
          <w:b/>
          <w:bCs/>
        </w:rPr>
        <w:t>la evaluación negativa es bastante mayor en</w:t>
      </w:r>
      <w:r w:rsidR="005246A1" w:rsidRPr="007C416A">
        <w:rPr>
          <w:b/>
          <w:bCs/>
        </w:rPr>
        <w:t xml:space="preserve"> el interior del país que en CABA</w:t>
      </w:r>
      <w:r w:rsidR="005246A1">
        <w:t xml:space="preserve"> (60% versus 51%)</w:t>
      </w:r>
      <w:r w:rsidR="00B32C82">
        <w:t>.</w:t>
      </w:r>
    </w:p>
    <w:p w14:paraId="58C05686" w14:textId="77777777" w:rsidR="004772E4" w:rsidRDefault="004772E4" w:rsidP="0017144B">
      <w:pPr>
        <w:spacing w:after="0" w:line="276" w:lineRule="auto"/>
        <w:rPr>
          <w:i/>
          <w:sz w:val="18"/>
          <w:szCs w:val="18"/>
        </w:rPr>
      </w:pPr>
      <w:r>
        <w:rPr>
          <w:i/>
          <w:sz w:val="18"/>
          <w:szCs w:val="18"/>
        </w:rPr>
        <w:br w:type="page"/>
      </w:r>
    </w:p>
    <w:p w14:paraId="030AA749" w14:textId="1C85EC20" w:rsidR="006347CC" w:rsidRPr="008D144E" w:rsidRDefault="008D144E" w:rsidP="0017144B">
      <w:pPr>
        <w:pBdr>
          <w:bottom w:val="single" w:sz="4" w:space="1" w:color="000000"/>
        </w:pBdr>
        <w:spacing w:after="0" w:line="276" w:lineRule="auto"/>
        <w:jc w:val="center"/>
        <w:rPr>
          <w:i/>
          <w:sz w:val="18"/>
          <w:szCs w:val="18"/>
        </w:rPr>
      </w:pPr>
      <w:r w:rsidRPr="008D144E">
        <w:rPr>
          <w:i/>
          <w:sz w:val="18"/>
          <w:szCs w:val="18"/>
        </w:rPr>
        <w:lastRenderedPageBreak/>
        <w:t>¿Cómo evaluaría las libertades políticas en su país hoy en día?</w:t>
      </w:r>
    </w:p>
    <w:p w14:paraId="500D8E04" w14:textId="3158C8B4" w:rsidR="006347CC" w:rsidRDefault="00192D97" w:rsidP="0017144B">
      <w:pPr>
        <w:spacing w:after="0" w:line="276" w:lineRule="auto"/>
        <w:jc w:val="both"/>
        <w:rPr>
          <w:b/>
          <w:bCs/>
        </w:rPr>
      </w:pPr>
      <w:r w:rsidRPr="00192D97">
        <w:rPr>
          <w:b/>
          <w:bCs/>
        </w:rPr>
        <w:drawing>
          <wp:inline distT="0" distB="0" distL="0" distR="0" wp14:anchorId="36187529" wp14:editId="0E6456C8">
            <wp:extent cx="5829300" cy="7705725"/>
            <wp:effectExtent l="0" t="0" r="0" b="0"/>
            <wp:docPr id="40047152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C14CF08" w14:textId="160FFA64" w:rsidR="008D144E" w:rsidRDefault="008D144E" w:rsidP="0017144B">
      <w:pPr>
        <w:spacing w:after="0" w:line="276" w:lineRule="auto"/>
        <w:jc w:val="center"/>
        <w:rPr>
          <w:sz w:val="16"/>
          <w:szCs w:val="16"/>
        </w:rPr>
      </w:pPr>
      <w:r w:rsidRPr="008D144E">
        <w:rPr>
          <w:sz w:val="16"/>
          <w:szCs w:val="16"/>
        </w:rPr>
        <w:t xml:space="preserve">Encuesta Global. VOICES! en Argentina. </w:t>
      </w:r>
    </w:p>
    <w:p w14:paraId="3D2B8CD4" w14:textId="77777777" w:rsidR="007C416A" w:rsidRDefault="007C416A" w:rsidP="0017144B">
      <w:pPr>
        <w:spacing w:after="0" w:line="276" w:lineRule="auto"/>
        <w:jc w:val="center"/>
        <w:rPr>
          <w:sz w:val="16"/>
          <w:szCs w:val="16"/>
        </w:rPr>
      </w:pPr>
    </w:p>
    <w:p w14:paraId="572A4BEC" w14:textId="77777777" w:rsidR="007C416A" w:rsidRDefault="007C416A" w:rsidP="0017144B">
      <w:pPr>
        <w:spacing w:after="0" w:line="276" w:lineRule="auto"/>
        <w:jc w:val="both"/>
        <w:rPr>
          <w:sz w:val="16"/>
          <w:szCs w:val="16"/>
        </w:rPr>
      </w:pPr>
    </w:p>
    <w:p w14:paraId="1B50FB0F" w14:textId="77777777" w:rsidR="003B7C53" w:rsidRDefault="003B7C53" w:rsidP="0017144B">
      <w:pPr>
        <w:spacing w:after="0" w:line="276" w:lineRule="auto"/>
        <w:jc w:val="both"/>
      </w:pPr>
    </w:p>
    <w:p w14:paraId="2D117D5C" w14:textId="77777777" w:rsidR="003B7C53" w:rsidRPr="003B7C53" w:rsidRDefault="003B7C53" w:rsidP="0017144B">
      <w:pPr>
        <w:spacing w:after="0" w:line="276" w:lineRule="auto"/>
        <w:jc w:val="both"/>
        <w:rPr>
          <w:color w:val="C00000"/>
        </w:rPr>
      </w:pPr>
    </w:p>
    <w:p w14:paraId="6540664D" w14:textId="77777777" w:rsidR="0017144B" w:rsidRDefault="0017144B" w:rsidP="0017144B">
      <w:pPr>
        <w:spacing w:after="0" w:line="276" w:lineRule="auto"/>
        <w:jc w:val="both"/>
        <w:rPr>
          <w:b/>
          <w:bCs/>
          <w:color w:val="C00000"/>
        </w:rPr>
      </w:pPr>
    </w:p>
    <w:p w14:paraId="598159C6" w14:textId="53E076F5" w:rsidR="003B7C53" w:rsidRDefault="00001BBB" w:rsidP="0017144B">
      <w:pPr>
        <w:spacing w:after="0" w:line="276" w:lineRule="auto"/>
        <w:jc w:val="both"/>
        <w:rPr>
          <w:b/>
          <w:bCs/>
          <w:color w:val="C00000"/>
        </w:rPr>
      </w:pPr>
      <w:r w:rsidRPr="003B7C53">
        <w:rPr>
          <w:b/>
          <w:bCs/>
          <w:color w:val="C00000"/>
        </w:rPr>
        <w:t xml:space="preserve">EL DESCONTENTO ES AÚN MAYOR CUANDO SE TRATA DE LAS OPORTUNIDADES ECONÓMICAS: </w:t>
      </w:r>
      <w:r>
        <w:rPr>
          <w:b/>
          <w:bCs/>
          <w:color w:val="C00000"/>
        </w:rPr>
        <w:t>6 DE CADA 10 CIUDADANOS A NIVEL GLOBAL SEÑALA</w:t>
      </w:r>
      <w:r w:rsidR="004772E4">
        <w:rPr>
          <w:b/>
          <w:bCs/>
          <w:color w:val="C00000"/>
        </w:rPr>
        <w:t>N</w:t>
      </w:r>
      <w:r>
        <w:rPr>
          <w:b/>
          <w:bCs/>
          <w:color w:val="C00000"/>
        </w:rPr>
        <w:t xml:space="preserve"> </w:t>
      </w:r>
      <w:r w:rsidRPr="003B7C53">
        <w:rPr>
          <w:b/>
          <w:bCs/>
          <w:color w:val="C00000"/>
        </w:rPr>
        <w:t>QUE LAS OPORTUNIDADES ECONÓMICAS ACTUALES EN EL PAÍS DONDE VIVE</w:t>
      </w:r>
      <w:r w:rsidR="00EE5A3B">
        <w:rPr>
          <w:b/>
          <w:bCs/>
          <w:color w:val="C00000"/>
        </w:rPr>
        <w:t>N</w:t>
      </w:r>
      <w:r w:rsidRPr="003B7C53">
        <w:rPr>
          <w:b/>
          <w:bCs/>
          <w:color w:val="C00000"/>
        </w:rPr>
        <w:t xml:space="preserve"> SON INSUFICIENTES</w:t>
      </w:r>
      <w:r>
        <w:rPr>
          <w:b/>
          <w:bCs/>
          <w:color w:val="C00000"/>
        </w:rPr>
        <w:t xml:space="preserve">. </w:t>
      </w:r>
    </w:p>
    <w:p w14:paraId="370DE4EF" w14:textId="77777777" w:rsidR="0017144B" w:rsidRPr="003B7C53" w:rsidRDefault="0017144B" w:rsidP="0017144B">
      <w:pPr>
        <w:spacing w:after="0" w:line="276" w:lineRule="auto"/>
        <w:jc w:val="both"/>
        <w:rPr>
          <w:b/>
          <w:bCs/>
          <w:color w:val="C00000"/>
        </w:rPr>
      </w:pPr>
    </w:p>
    <w:p w14:paraId="28F8D2CE" w14:textId="0BA7C6DA" w:rsidR="003B7C53" w:rsidRDefault="003B7C53" w:rsidP="0017144B">
      <w:pPr>
        <w:spacing w:after="0" w:line="276" w:lineRule="auto"/>
        <w:jc w:val="both"/>
        <w:rPr>
          <w:b/>
          <w:bCs/>
        </w:rPr>
      </w:pPr>
      <w:r w:rsidRPr="000F460F">
        <w:rPr>
          <w:b/>
          <w:bCs/>
        </w:rPr>
        <w:t xml:space="preserve">El 64% de los encuestados a nivel global evalúa las oportunidades económicas como </w:t>
      </w:r>
      <w:r w:rsidRPr="00CD502C">
        <w:rPr>
          <w:b/>
          <w:bCs/>
        </w:rPr>
        <w:t>insuficientes, mientras que el 29% cree que son suficientes y el 7% restante responde que no sabe.</w:t>
      </w:r>
      <w:r w:rsidRPr="000F460F">
        <w:rPr>
          <w:b/>
          <w:bCs/>
        </w:rPr>
        <w:t xml:space="preserve"> </w:t>
      </w:r>
    </w:p>
    <w:p w14:paraId="49EAACD9" w14:textId="77777777" w:rsidR="0017144B" w:rsidRDefault="0017144B" w:rsidP="0017144B">
      <w:pPr>
        <w:spacing w:after="0" w:line="276" w:lineRule="auto"/>
        <w:jc w:val="both"/>
        <w:rPr>
          <w:b/>
          <w:bCs/>
        </w:rPr>
      </w:pPr>
    </w:p>
    <w:p w14:paraId="37D7A348" w14:textId="77777777" w:rsidR="008F6A48" w:rsidRDefault="003B7C53" w:rsidP="0017144B">
      <w:pPr>
        <w:spacing w:after="0" w:line="276" w:lineRule="auto"/>
        <w:jc w:val="both"/>
      </w:pPr>
      <w:r w:rsidRPr="000F460F">
        <w:rPr>
          <w:b/>
          <w:bCs/>
        </w:rPr>
        <w:t>La comparación entre regiones revela que sólo en Norteamérica la gente tiene una actitud ligeramente positiva</w:t>
      </w:r>
      <w:r>
        <w:t xml:space="preserve"> (46% evalúa como suficientes a las oportunidades económicas actuales del país versus el 44% que cree que son insuficientes). </w:t>
      </w:r>
    </w:p>
    <w:p w14:paraId="537419EF" w14:textId="77777777" w:rsidR="0017144B" w:rsidRDefault="0017144B" w:rsidP="0017144B">
      <w:pPr>
        <w:spacing w:after="0" w:line="276" w:lineRule="auto"/>
        <w:jc w:val="both"/>
      </w:pPr>
    </w:p>
    <w:p w14:paraId="4E6E356D" w14:textId="291E8D43" w:rsidR="008F6A48" w:rsidRPr="00CD502C" w:rsidRDefault="008F6A48" w:rsidP="0017144B">
      <w:pPr>
        <w:spacing w:after="0" w:line="276" w:lineRule="auto"/>
        <w:jc w:val="both"/>
        <w:rPr>
          <w:b/>
          <w:bCs/>
        </w:rPr>
      </w:pPr>
      <w:r>
        <w:rPr>
          <w:b/>
          <w:bCs/>
        </w:rPr>
        <w:t xml:space="preserve">Por otro lado, vemos que </w:t>
      </w:r>
      <w:r w:rsidR="003B7C53" w:rsidRPr="000F460F">
        <w:rPr>
          <w:b/>
          <w:bCs/>
        </w:rPr>
        <w:t>África Subsahariana</w:t>
      </w:r>
      <w:r w:rsidR="003B7C53">
        <w:t xml:space="preserve"> (80% </w:t>
      </w:r>
      <w:r>
        <w:t xml:space="preserve">de </w:t>
      </w:r>
      <w:r w:rsidR="003B7C53">
        <w:t>opiniones negativas vs. 18% positivas)</w:t>
      </w:r>
      <w:r w:rsidR="00CD502C">
        <w:t xml:space="preserve">, </w:t>
      </w:r>
      <w:r w:rsidR="003B7C53" w:rsidRPr="000F460F">
        <w:rPr>
          <w:b/>
          <w:bCs/>
        </w:rPr>
        <w:t>América Latina</w:t>
      </w:r>
      <w:r w:rsidR="003B7C53">
        <w:t xml:space="preserve"> (79% vs. 18%</w:t>
      </w:r>
      <w:r w:rsidR="003B7C53" w:rsidRPr="000F460F">
        <w:t>)</w:t>
      </w:r>
      <w:r w:rsidR="00CD502C">
        <w:rPr>
          <w:b/>
          <w:bCs/>
        </w:rPr>
        <w:t xml:space="preserve"> y </w:t>
      </w:r>
      <w:r w:rsidR="003B7C53" w:rsidRPr="000F460F">
        <w:rPr>
          <w:b/>
          <w:bCs/>
        </w:rPr>
        <w:t>Asia Occidental</w:t>
      </w:r>
      <w:r w:rsidR="003B7C53">
        <w:t xml:space="preserve"> (78% vs. 20%), </w:t>
      </w:r>
      <w:r w:rsidR="004772E4" w:rsidRPr="000F460F">
        <w:rPr>
          <w:b/>
          <w:bCs/>
        </w:rPr>
        <w:t>son las</w:t>
      </w:r>
      <w:r w:rsidR="004772E4">
        <w:rPr>
          <w:b/>
          <w:bCs/>
        </w:rPr>
        <w:t xml:space="preserve"> regiones</w:t>
      </w:r>
      <w:r w:rsidR="004772E4" w:rsidRPr="000F460F">
        <w:rPr>
          <w:b/>
          <w:bCs/>
        </w:rPr>
        <w:t xml:space="preserve"> más pesimistas</w:t>
      </w:r>
      <w:r w:rsidR="00BE38BF">
        <w:rPr>
          <w:b/>
          <w:bCs/>
        </w:rPr>
        <w:t xml:space="preserve">. </w:t>
      </w:r>
      <w:r w:rsidR="003B7C53" w:rsidRPr="000F460F">
        <w:rPr>
          <w:b/>
          <w:bCs/>
        </w:rPr>
        <w:t>Oriente Medio y Norte de África</w:t>
      </w:r>
      <w:r w:rsidR="003B7C53">
        <w:t xml:space="preserve"> (72% vs. 25%)</w:t>
      </w:r>
      <w:r w:rsidR="00CD502C">
        <w:t>,</w:t>
      </w:r>
      <w:r w:rsidR="003B7C53">
        <w:t xml:space="preserve"> </w:t>
      </w:r>
      <w:r w:rsidR="003B7C53" w:rsidRPr="000F460F">
        <w:rPr>
          <w:b/>
          <w:bCs/>
        </w:rPr>
        <w:t>los países</w:t>
      </w:r>
      <w:r w:rsidR="003B7C53">
        <w:rPr>
          <w:b/>
          <w:bCs/>
        </w:rPr>
        <w:t xml:space="preserve"> de Europa</w:t>
      </w:r>
      <w:r w:rsidR="003B7C53" w:rsidRPr="000F460F">
        <w:rPr>
          <w:b/>
          <w:bCs/>
        </w:rPr>
        <w:t xml:space="preserve"> no pertenecientes a la UE</w:t>
      </w:r>
      <w:r w:rsidR="003B7C53">
        <w:t xml:space="preserve"> (68% vs. 22%</w:t>
      </w:r>
      <w:r w:rsidR="003B7C53" w:rsidRPr="008F6A48">
        <w:t>)</w:t>
      </w:r>
      <w:r w:rsidR="003B7C53" w:rsidRPr="000F460F">
        <w:rPr>
          <w:b/>
          <w:bCs/>
        </w:rPr>
        <w:t>, Asia Oriental y Oceanía</w:t>
      </w:r>
      <w:r w:rsidR="003B7C53">
        <w:t xml:space="preserve"> (58% vs. 33%), </w:t>
      </w:r>
      <w:r w:rsidR="003B7C53" w:rsidRPr="000F460F">
        <w:rPr>
          <w:b/>
          <w:bCs/>
        </w:rPr>
        <w:t>la UE</w:t>
      </w:r>
      <w:r w:rsidR="003B7C53">
        <w:t xml:space="preserve"> (57% vs. 36%) </w:t>
      </w:r>
      <w:r w:rsidR="003B7C53" w:rsidRPr="000F460F">
        <w:rPr>
          <w:b/>
          <w:bCs/>
        </w:rPr>
        <w:t>y Asia Meridional</w:t>
      </w:r>
      <w:r w:rsidR="003B7C53">
        <w:t xml:space="preserve"> (47% vs. 42%).</w:t>
      </w:r>
      <w:r w:rsidR="00B36894">
        <w:t xml:space="preserve"> </w:t>
      </w:r>
      <w:r>
        <w:t xml:space="preserve">Esto evidencia que </w:t>
      </w:r>
      <w:r w:rsidRPr="008F6A48">
        <w:rPr>
          <w:b/>
          <w:bCs/>
        </w:rPr>
        <w:t xml:space="preserve">el descontento a nivel global es </w:t>
      </w:r>
      <w:r>
        <w:rPr>
          <w:b/>
          <w:bCs/>
        </w:rPr>
        <w:t>significativo y</w:t>
      </w:r>
      <w:r w:rsidRPr="008F6A48">
        <w:rPr>
          <w:b/>
          <w:bCs/>
        </w:rPr>
        <w:t xml:space="preserve"> llamativo </w:t>
      </w:r>
      <w:r w:rsidR="00001BBB">
        <w:rPr>
          <w:b/>
          <w:bCs/>
        </w:rPr>
        <w:t>en</w:t>
      </w:r>
      <w:r>
        <w:rPr>
          <w:b/>
          <w:bCs/>
        </w:rPr>
        <w:t xml:space="preserve"> todo el mundo. </w:t>
      </w:r>
      <w:r>
        <w:t xml:space="preserve"> </w:t>
      </w:r>
    </w:p>
    <w:p w14:paraId="1936A83A" w14:textId="77777777" w:rsidR="0017144B" w:rsidRDefault="0017144B" w:rsidP="0017144B">
      <w:pPr>
        <w:spacing w:after="0" w:line="276" w:lineRule="auto"/>
        <w:jc w:val="both"/>
      </w:pPr>
    </w:p>
    <w:p w14:paraId="6CBBEF1E" w14:textId="2B14B92B" w:rsidR="003B7C53" w:rsidRDefault="003B7C53" w:rsidP="0017144B">
      <w:pPr>
        <w:spacing w:after="0" w:line="276" w:lineRule="auto"/>
        <w:jc w:val="both"/>
      </w:pPr>
      <w:r w:rsidRPr="000F460F">
        <w:rPr>
          <w:b/>
          <w:bCs/>
        </w:rPr>
        <w:t>Las valoraciones más negativas se registran en Bosnia y Herzegovina</w:t>
      </w:r>
      <w:r w:rsidR="008F6A48">
        <w:t xml:space="preserve">, donde el 92% de los encuestados evalúa como insuficientes a las oportunidades económicas del país hoy en día, mientras que solamente el 6% señala que son suficientes. </w:t>
      </w:r>
      <w:r w:rsidR="008F6A48" w:rsidRPr="0039496B">
        <w:rPr>
          <w:b/>
          <w:bCs/>
        </w:rPr>
        <w:t>Luego aparecen Argentina y Perú</w:t>
      </w:r>
      <w:r w:rsidR="008F6A48">
        <w:t>, con un 90% de menciones negativas y ta</w:t>
      </w:r>
      <w:r w:rsidR="00EE5A3B">
        <w:t>n</w:t>
      </w:r>
      <w:r w:rsidR="008F6A48">
        <w:t xml:space="preserve"> solo 6% positivas en el caso de los argentinos y 7% de los peruanos. </w:t>
      </w:r>
      <w:r w:rsidR="0039496B" w:rsidRPr="0039496B">
        <w:rPr>
          <w:b/>
          <w:bCs/>
        </w:rPr>
        <w:t>También se destacan</w:t>
      </w:r>
      <w:r w:rsidR="0039496B">
        <w:t xml:space="preserve"> por manifestar las opiniones más críticas </w:t>
      </w:r>
      <w:r w:rsidR="0039496B" w:rsidRPr="0039496B">
        <w:rPr>
          <w:b/>
          <w:bCs/>
        </w:rPr>
        <w:t>los nigerianos</w:t>
      </w:r>
      <w:r w:rsidR="0039496B">
        <w:t xml:space="preserve"> (91% negativas vs. 9% positivas), </w:t>
      </w:r>
      <w:r w:rsidR="0039496B" w:rsidRPr="0039496B">
        <w:rPr>
          <w:b/>
          <w:bCs/>
        </w:rPr>
        <w:t>los habitantes de Macedonia del Norte</w:t>
      </w:r>
      <w:r w:rsidR="0039496B">
        <w:t xml:space="preserve"> (88% vs. 8%) </w:t>
      </w:r>
      <w:r w:rsidR="0039496B" w:rsidRPr="0039496B">
        <w:rPr>
          <w:b/>
          <w:bCs/>
        </w:rPr>
        <w:t>y los de Georgia</w:t>
      </w:r>
      <w:r w:rsidR="0039496B">
        <w:t xml:space="preserve"> (88% vs. 9%). </w:t>
      </w:r>
    </w:p>
    <w:p w14:paraId="1BB9D3A8" w14:textId="77777777" w:rsidR="0017144B" w:rsidRDefault="0017144B" w:rsidP="0017144B">
      <w:pPr>
        <w:spacing w:after="0" w:line="276" w:lineRule="auto"/>
        <w:jc w:val="both"/>
      </w:pPr>
    </w:p>
    <w:p w14:paraId="75B56A51" w14:textId="6E74F524" w:rsidR="003B7C53" w:rsidRDefault="003B7C53" w:rsidP="0017144B">
      <w:pPr>
        <w:spacing w:after="0" w:line="276" w:lineRule="auto"/>
        <w:jc w:val="both"/>
      </w:pPr>
      <w:r w:rsidRPr="0039496B">
        <w:rPr>
          <w:b/>
          <w:bCs/>
        </w:rPr>
        <w:t xml:space="preserve">Las mujeres parecen de nuevo más </w:t>
      </w:r>
      <w:r w:rsidR="0039496B" w:rsidRPr="0039496B">
        <w:rPr>
          <w:b/>
          <w:bCs/>
        </w:rPr>
        <w:t>críticas</w:t>
      </w:r>
      <w:r w:rsidRPr="0039496B">
        <w:rPr>
          <w:b/>
          <w:bCs/>
        </w:rPr>
        <w:t xml:space="preserve"> que los hombres</w:t>
      </w:r>
      <w:r w:rsidR="0039496B" w:rsidRPr="0039496B">
        <w:rPr>
          <w:b/>
          <w:bCs/>
        </w:rPr>
        <w:t>:</w:t>
      </w:r>
      <w:r w:rsidR="0039496B">
        <w:t xml:space="preserve"> el 66% evalúa las oportunidades económicas del país como insuficientes y el 26% como suficientes, versus el 62% y 33% de los hombres. </w:t>
      </w:r>
    </w:p>
    <w:p w14:paraId="7B1DC8E5" w14:textId="77777777" w:rsidR="0017144B" w:rsidRDefault="0017144B" w:rsidP="0017144B">
      <w:pPr>
        <w:spacing w:after="0" w:line="276" w:lineRule="auto"/>
        <w:jc w:val="both"/>
        <w:rPr>
          <w:b/>
          <w:bCs/>
        </w:rPr>
      </w:pPr>
    </w:p>
    <w:p w14:paraId="1204B9BB" w14:textId="55106C87" w:rsidR="0039496B" w:rsidRDefault="0039496B" w:rsidP="0017144B">
      <w:pPr>
        <w:spacing w:after="0" w:line="276" w:lineRule="auto"/>
        <w:jc w:val="both"/>
        <w:rPr>
          <w:b/>
          <w:bCs/>
        </w:rPr>
      </w:pPr>
      <w:r w:rsidRPr="0039496B">
        <w:rPr>
          <w:b/>
          <w:bCs/>
        </w:rPr>
        <w:t>Argentina se encuentra</w:t>
      </w:r>
      <w:r>
        <w:t xml:space="preserve">, de una lista de 60, </w:t>
      </w:r>
      <w:r w:rsidRPr="0039496B">
        <w:rPr>
          <w:b/>
          <w:bCs/>
        </w:rPr>
        <w:t>en el top 3 de países con la opinión más negativa respecto a las oportunidades económicas actuales.</w:t>
      </w:r>
      <w:r>
        <w:t xml:space="preserve"> </w:t>
      </w:r>
      <w:r w:rsidRPr="0039496B">
        <w:rPr>
          <w:b/>
          <w:bCs/>
        </w:rPr>
        <w:t xml:space="preserve">Según los resultados del estudio de </w:t>
      </w:r>
      <w:proofErr w:type="spellStart"/>
      <w:r w:rsidRPr="0039496B">
        <w:rPr>
          <w:b/>
          <w:bCs/>
        </w:rPr>
        <w:t>Voices</w:t>
      </w:r>
      <w:proofErr w:type="spellEnd"/>
      <w:r w:rsidRPr="0039496B">
        <w:rPr>
          <w:b/>
          <w:bCs/>
        </w:rPr>
        <w:t>, 9 de cada 10 argentinos evalúa</w:t>
      </w:r>
      <w:r w:rsidR="00EE5A3B">
        <w:rPr>
          <w:b/>
          <w:bCs/>
        </w:rPr>
        <w:t>n</w:t>
      </w:r>
      <w:r w:rsidRPr="0039496B">
        <w:rPr>
          <w:b/>
          <w:bCs/>
        </w:rPr>
        <w:t xml:space="preserve"> como insuficientes las oportunidades económicas actuales en el país. Por el contrario, solo el 6% considera que son suficientes y el 4% restante responde que no sabe. </w:t>
      </w:r>
    </w:p>
    <w:p w14:paraId="5DA4C8BC" w14:textId="77777777" w:rsidR="0017144B" w:rsidRDefault="0017144B" w:rsidP="0017144B">
      <w:pPr>
        <w:spacing w:after="0" w:line="276" w:lineRule="auto"/>
        <w:jc w:val="both"/>
      </w:pPr>
    </w:p>
    <w:p w14:paraId="2F45F132" w14:textId="1FD95A86" w:rsidR="0039496B" w:rsidRPr="003F7615" w:rsidRDefault="0039496B" w:rsidP="0017144B">
      <w:pPr>
        <w:spacing w:after="0" w:line="276" w:lineRule="auto"/>
        <w:jc w:val="both"/>
        <w:rPr>
          <w:b/>
          <w:bCs/>
        </w:rPr>
      </w:pPr>
      <w:r>
        <w:t xml:space="preserve">Además, se evidencia que </w:t>
      </w:r>
      <w:r w:rsidRPr="0039496B">
        <w:rPr>
          <w:b/>
          <w:bCs/>
        </w:rPr>
        <w:t>no</w:t>
      </w:r>
      <w:r>
        <w:t xml:space="preserve"> </w:t>
      </w:r>
      <w:r w:rsidRPr="003F7615">
        <w:rPr>
          <w:b/>
          <w:bCs/>
        </w:rPr>
        <w:t>hay diferencias significativas entre los distintos segmentos sociodemográficos, sino que todos muestran un</w:t>
      </w:r>
      <w:r w:rsidR="00001BBB">
        <w:rPr>
          <w:b/>
          <w:bCs/>
        </w:rPr>
        <w:t xml:space="preserve">a gran insatisfacción </w:t>
      </w:r>
      <w:r>
        <w:rPr>
          <w:b/>
          <w:bCs/>
        </w:rPr>
        <w:t>cuando se les pide que evalúen las</w:t>
      </w:r>
      <w:r w:rsidRPr="003F7615">
        <w:rPr>
          <w:b/>
          <w:bCs/>
        </w:rPr>
        <w:t xml:space="preserve"> oportunidades económicas actuales del país.</w:t>
      </w:r>
    </w:p>
    <w:p w14:paraId="5C886422" w14:textId="77777777" w:rsidR="0039496B" w:rsidRDefault="0039496B" w:rsidP="0017144B">
      <w:pPr>
        <w:spacing w:after="0" w:line="276" w:lineRule="auto"/>
        <w:jc w:val="both"/>
        <w:rPr>
          <w:sz w:val="16"/>
          <w:szCs w:val="16"/>
        </w:rPr>
      </w:pPr>
    </w:p>
    <w:p w14:paraId="4A0BC790" w14:textId="77777777" w:rsidR="0017144B" w:rsidRDefault="0017144B" w:rsidP="0017144B">
      <w:pPr>
        <w:spacing w:after="0" w:line="276" w:lineRule="auto"/>
        <w:jc w:val="both"/>
        <w:rPr>
          <w:b/>
          <w:bCs/>
          <w:color w:val="C00000"/>
        </w:rPr>
      </w:pPr>
    </w:p>
    <w:p w14:paraId="60DF7010" w14:textId="77777777" w:rsidR="00CD502C" w:rsidRDefault="00CD502C" w:rsidP="0017144B">
      <w:pPr>
        <w:spacing w:after="0" w:line="276" w:lineRule="auto"/>
        <w:jc w:val="both"/>
        <w:rPr>
          <w:b/>
          <w:bCs/>
        </w:rPr>
      </w:pPr>
    </w:p>
    <w:p w14:paraId="40F3C73D" w14:textId="141E1384" w:rsidR="0017144B" w:rsidRDefault="0017144B" w:rsidP="0017144B">
      <w:pPr>
        <w:spacing w:after="0" w:line="276" w:lineRule="auto"/>
        <w:jc w:val="both"/>
        <w:rPr>
          <w:i/>
          <w:iCs/>
        </w:rPr>
      </w:pPr>
      <w:r w:rsidRPr="00CA6B89">
        <w:rPr>
          <w:b/>
          <w:bCs/>
        </w:rPr>
        <w:t xml:space="preserve">Constanza </w:t>
      </w:r>
      <w:proofErr w:type="spellStart"/>
      <w:r w:rsidRPr="00CA6B89">
        <w:rPr>
          <w:b/>
          <w:bCs/>
        </w:rPr>
        <w:t>Cilley</w:t>
      </w:r>
      <w:proofErr w:type="spellEnd"/>
      <w:r w:rsidRPr="00CA6B89">
        <w:rPr>
          <w:b/>
          <w:bCs/>
        </w:rPr>
        <w:t xml:space="preserve">, </w:t>
      </w:r>
      <w:proofErr w:type="gramStart"/>
      <w:r w:rsidRPr="00CA6B89">
        <w:rPr>
          <w:b/>
          <w:bCs/>
        </w:rPr>
        <w:t>Directora Ejecutiva</w:t>
      </w:r>
      <w:proofErr w:type="gramEnd"/>
      <w:r w:rsidRPr="00CA6B89">
        <w:rPr>
          <w:b/>
          <w:bCs/>
        </w:rPr>
        <w:t xml:space="preserve"> de </w:t>
      </w:r>
      <w:proofErr w:type="spellStart"/>
      <w:r w:rsidRPr="00CA6B89">
        <w:rPr>
          <w:b/>
          <w:bCs/>
        </w:rPr>
        <w:t>Voices</w:t>
      </w:r>
      <w:proofErr w:type="spellEnd"/>
      <w:r w:rsidRPr="00CA6B89">
        <w:rPr>
          <w:b/>
          <w:bCs/>
        </w:rPr>
        <w:t>! remarcó que:</w:t>
      </w:r>
      <w:r>
        <w:rPr>
          <w:b/>
          <w:bCs/>
        </w:rPr>
        <w:t xml:space="preserve"> </w:t>
      </w:r>
      <w:r w:rsidRPr="00CA6B89">
        <w:rPr>
          <w:i/>
          <w:iCs/>
        </w:rPr>
        <w:t xml:space="preserve">“La situación económica en </w:t>
      </w:r>
      <w:r>
        <w:rPr>
          <w:i/>
          <w:iCs/>
        </w:rPr>
        <w:t>Argentina</w:t>
      </w:r>
      <w:r w:rsidRPr="00CA6B89">
        <w:rPr>
          <w:i/>
          <w:iCs/>
        </w:rPr>
        <w:t xml:space="preserve"> </w:t>
      </w:r>
      <w:r>
        <w:rPr>
          <w:i/>
          <w:iCs/>
        </w:rPr>
        <w:t>preocupa a la ciudadanía,</w:t>
      </w:r>
      <w:r w:rsidRPr="00CA6B89">
        <w:rPr>
          <w:i/>
          <w:iCs/>
        </w:rPr>
        <w:t xml:space="preserve"> tal como lo muestran varios de los estudios publicados recientemente por </w:t>
      </w:r>
      <w:proofErr w:type="spellStart"/>
      <w:r w:rsidRPr="00CA6B89">
        <w:rPr>
          <w:i/>
          <w:iCs/>
        </w:rPr>
        <w:t>Voices</w:t>
      </w:r>
      <w:proofErr w:type="spellEnd"/>
      <w:r>
        <w:rPr>
          <w:i/>
          <w:iCs/>
        </w:rPr>
        <w:t xml:space="preserve">. En esta ocasión, los resultados de la investigación evidencian que la inmensa mayoría de los argentinos evalúa las oportunidades económicas del país como insuficientes. Y, si bien hay leves atisbos de esperanza, el pesimismo en relación con la posibilidad de una mejora a futuro sigue siendo muy notorio. </w:t>
      </w:r>
    </w:p>
    <w:p w14:paraId="632F4686" w14:textId="77777777" w:rsidR="0017144B" w:rsidRPr="00035C9A" w:rsidRDefault="0017144B" w:rsidP="0017144B">
      <w:pPr>
        <w:spacing w:after="0" w:line="276" w:lineRule="auto"/>
        <w:jc w:val="both"/>
        <w:rPr>
          <w:i/>
          <w:iCs/>
        </w:rPr>
      </w:pPr>
      <w:r>
        <w:rPr>
          <w:i/>
          <w:iCs/>
        </w:rPr>
        <w:t xml:space="preserve">Asimismo, teniendo en cuenta que en diciembre se cumplen 40 años de democracia en Argentina, es preocupante el porcentaje de argentinos que evalúa negativamente las libertades políticas del país. </w:t>
      </w:r>
      <w:r w:rsidRPr="00035C9A">
        <w:rPr>
          <w:i/>
          <w:iCs/>
        </w:rPr>
        <w:t xml:space="preserve">Como bien señaló </w:t>
      </w:r>
      <w:r>
        <w:rPr>
          <w:i/>
          <w:iCs/>
        </w:rPr>
        <w:t xml:space="preserve">recientemente </w:t>
      </w:r>
      <w:r w:rsidRPr="00035C9A">
        <w:rPr>
          <w:i/>
          <w:iCs/>
        </w:rPr>
        <w:t xml:space="preserve">Marita Carballo, </w:t>
      </w:r>
      <w:proofErr w:type="gramStart"/>
      <w:r w:rsidRPr="00035C9A">
        <w:rPr>
          <w:i/>
          <w:iCs/>
        </w:rPr>
        <w:t>Presidente</w:t>
      </w:r>
      <w:proofErr w:type="gramEnd"/>
      <w:r w:rsidRPr="00035C9A">
        <w:rPr>
          <w:i/>
          <w:iCs/>
        </w:rPr>
        <w:t xml:space="preserve"> de </w:t>
      </w:r>
      <w:proofErr w:type="spellStart"/>
      <w:r w:rsidRPr="00035C9A">
        <w:rPr>
          <w:i/>
          <w:iCs/>
        </w:rPr>
        <w:t>Voices</w:t>
      </w:r>
      <w:proofErr w:type="spellEnd"/>
      <w:r w:rsidRPr="00035C9A">
        <w:rPr>
          <w:i/>
          <w:iCs/>
        </w:rPr>
        <w:t xml:space="preserve">, en una nota para Clarín, aunque “hemos tenido elecciones periódicas, libres, limpias y con alternancia en el poder a lo largo de estas décadas (…), también debemos decir que la democracia enfrenta grandes desafíos y muchos problemas sin resolver”. </w:t>
      </w:r>
    </w:p>
    <w:p w14:paraId="74CF70F8" w14:textId="17ED5A25" w:rsidR="003B7C53" w:rsidRDefault="003B7C53" w:rsidP="0017144B">
      <w:pPr>
        <w:spacing w:after="0" w:line="276" w:lineRule="auto"/>
        <w:jc w:val="both"/>
        <w:rPr>
          <w:b/>
          <w:bCs/>
        </w:rPr>
      </w:pPr>
    </w:p>
    <w:p w14:paraId="4B0C240C" w14:textId="2BCFCDE8" w:rsidR="00001BBB" w:rsidRDefault="00001BBB" w:rsidP="0017144B">
      <w:pPr>
        <w:spacing w:after="0" w:line="276" w:lineRule="auto"/>
        <w:jc w:val="both"/>
        <w:rPr>
          <w:b/>
          <w:bCs/>
        </w:rPr>
      </w:pPr>
    </w:p>
    <w:p w14:paraId="5E1B062F" w14:textId="77777777" w:rsidR="00001BBB" w:rsidRDefault="00001BBB" w:rsidP="0017144B">
      <w:pPr>
        <w:spacing w:after="0" w:line="276" w:lineRule="auto"/>
        <w:jc w:val="both"/>
        <w:rPr>
          <w:b/>
          <w:bCs/>
        </w:rPr>
      </w:pPr>
    </w:p>
    <w:p w14:paraId="5EC6377B" w14:textId="77777777" w:rsidR="0017144B" w:rsidRDefault="0017144B" w:rsidP="0017144B">
      <w:pPr>
        <w:spacing w:after="0" w:line="276" w:lineRule="auto"/>
        <w:jc w:val="both"/>
        <w:rPr>
          <w:b/>
          <w:bCs/>
        </w:rPr>
      </w:pPr>
    </w:p>
    <w:p w14:paraId="65922485" w14:textId="77777777" w:rsidR="0017144B" w:rsidRDefault="0017144B" w:rsidP="0017144B">
      <w:pPr>
        <w:spacing w:after="0" w:line="276" w:lineRule="auto"/>
        <w:jc w:val="both"/>
        <w:rPr>
          <w:b/>
          <w:bCs/>
        </w:rPr>
      </w:pPr>
    </w:p>
    <w:p w14:paraId="561A23E4" w14:textId="77777777" w:rsidR="0017144B" w:rsidRDefault="0017144B" w:rsidP="0017144B">
      <w:pPr>
        <w:spacing w:after="0" w:line="276" w:lineRule="auto"/>
        <w:jc w:val="both"/>
        <w:rPr>
          <w:b/>
          <w:bCs/>
        </w:rPr>
      </w:pPr>
    </w:p>
    <w:p w14:paraId="77FEAE80" w14:textId="77777777" w:rsidR="0017144B" w:rsidRDefault="0017144B" w:rsidP="0017144B">
      <w:pPr>
        <w:spacing w:after="0" w:line="276" w:lineRule="auto"/>
        <w:jc w:val="both"/>
        <w:rPr>
          <w:b/>
          <w:bCs/>
        </w:rPr>
      </w:pPr>
    </w:p>
    <w:p w14:paraId="48814885" w14:textId="77777777" w:rsidR="0017144B" w:rsidRDefault="0017144B" w:rsidP="0017144B">
      <w:pPr>
        <w:spacing w:after="0" w:line="276" w:lineRule="auto"/>
        <w:jc w:val="both"/>
        <w:rPr>
          <w:b/>
          <w:bCs/>
        </w:rPr>
      </w:pPr>
    </w:p>
    <w:p w14:paraId="6E770795" w14:textId="77777777" w:rsidR="0017144B" w:rsidRDefault="0017144B" w:rsidP="0017144B">
      <w:pPr>
        <w:spacing w:after="0" w:line="276" w:lineRule="auto"/>
        <w:jc w:val="both"/>
        <w:rPr>
          <w:b/>
          <w:bCs/>
        </w:rPr>
      </w:pPr>
    </w:p>
    <w:p w14:paraId="08ECDE4E" w14:textId="77777777" w:rsidR="0017144B" w:rsidRDefault="0017144B" w:rsidP="0017144B">
      <w:pPr>
        <w:spacing w:after="0" w:line="276" w:lineRule="auto"/>
        <w:jc w:val="both"/>
        <w:rPr>
          <w:b/>
          <w:bCs/>
        </w:rPr>
      </w:pPr>
    </w:p>
    <w:p w14:paraId="13DCB648" w14:textId="77777777" w:rsidR="0017144B" w:rsidRDefault="0017144B" w:rsidP="0017144B">
      <w:pPr>
        <w:spacing w:after="0" w:line="276" w:lineRule="auto"/>
        <w:jc w:val="both"/>
        <w:rPr>
          <w:b/>
          <w:bCs/>
        </w:rPr>
      </w:pPr>
    </w:p>
    <w:p w14:paraId="4790743D" w14:textId="77777777" w:rsidR="0017144B" w:rsidRDefault="0017144B" w:rsidP="0017144B">
      <w:pPr>
        <w:spacing w:after="0" w:line="276" w:lineRule="auto"/>
        <w:jc w:val="both"/>
        <w:rPr>
          <w:b/>
          <w:bCs/>
        </w:rPr>
      </w:pPr>
    </w:p>
    <w:p w14:paraId="15A54481" w14:textId="77777777" w:rsidR="0017144B" w:rsidRDefault="0017144B" w:rsidP="0017144B">
      <w:pPr>
        <w:spacing w:after="0" w:line="276" w:lineRule="auto"/>
        <w:jc w:val="both"/>
        <w:rPr>
          <w:b/>
          <w:bCs/>
        </w:rPr>
      </w:pPr>
    </w:p>
    <w:p w14:paraId="7869BEAA" w14:textId="77777777" w:rsidR="0017144B" w:rsidRDefault="0017144B" w:rsidP="0017144B">
      <w:pPr>
        <w:spacing w:after="0" w:line="276" w:lineRule="auto"/>
        <w:jc w:val="both"/>
        <w:rPr>
          <w:b/>
          <w:bCs/>
        </w:rPr>
      </w:pPr>
    </w:p>
    <w:p w14:paraId="0DE94F6F" w14:textId="77777777" w:rsidR="0017144B" w:rsidRDefault="0017144B" w:rsidP="0017144B">
      <w:pPr>
        <w:spacing w:after="0" w:line="276" w:lineRule="auto"/>
        <w:jc w:val="both"/>
        <w:rPr>
          <w:b/>
          <w:bCs/>
        </w:rPr>
      </w:pPr>
    </w:p>
    <w:p w14:paraId="6B2D1B11" w14:textId="77777777" w:rsidR="0017144B" w:rsidRDefault="0017144B" w:rsidP="0017144B">
      <w:pPr>
        <w:spacing w:after="0" w:line="276" w:lineRule="auto"/>
        <w:jc w:val="both"/>
        <w:rPr>
          <w:b/>
          <w:bCs/>
        </w:rPr>
      </w:pPr>
    </w:p>
    <w:p w14:paraId="536FF19D" w14:textId="77777777" w:rsidR="0017144B" w:rsidRDefault="0017144B" w:rsidP="0017144B">
      <w:pPr>
        <w:spacing w:after="0" w:line="276" w:lineRule="auto"/>
        <w:jc w:val="both"/>
        <w:rPr>
          <w:b/>
          <w:bCs/>
        </w:rPr>
      </w:pPr>
    </w:p>
    <w:p w14:paraId="54459E3F" w14:textId="77777777" w:rsidR="0017144B" w:rsidRDefault="0017144B" w:rsidP="0017144B">
      <w:pPr>
        <w:spacing w:after="0" w:line="276" w:lineRule="auto"/>
        <w:jc w:val="both"/>
        <w:rPr>
          <w:b/>
          <w:bCs/>
        </w:rPr>
      </w:pPr>
    </w:p>
    <w:p w14:paraId="327B8D87" w14:textId="77777777" w:rsidR="0017144B" w:rsidRDefault="0017144B" w:rsidP="0017144B">
      <w:pPr>
        <w:spacing w:after="0" w:line="276" w:lineRule="auto"/>
        <w:jc w:val="both"/>
        <w:rPr>
          <w:b/>
          <w:bCs/>
        </w:rPr>
      </w:pPr>
    </w:p>
    <w:p w14:paraId="6D623BF8" w14:textId="77777777" w:rsidR="0017144B" w:rsidRDefault="0017144B" w:rsidP="0017144B">
      <w:pPr>
        <w:spacing w:after="0" w:line="276" w:lineRule="auto"/>
        <w:jc w:val="both"/>
        <w:rPr>
          <w:b/>
          <w:bCs/>
        </w:rPr>
      </w:pPr>
    </w:p>
    <w:p w14:paraId="57855516" w14:textId="77777777" w:rsidR="0017144B" w:rsidRDefault="0017144B" w:rsidP="0017144B">
      <w:pPr>
        <w:spacing w:after="0" w:line="276" w:lineRule="auto"/>
        <w:jc w:val="both"/>
        <w:rPr>
          <w:b/>
          <w:bCs/>
        </w:rPr>
      </w:pPr>
    </w:p>
    <w:p w14:paraId="6B1DC6D6" w14:textId="77777777" w:rsidR="0017144B" w:rsidRDefault="0017144B" w:rsidP="0017144B">
      <w:pPr>
        <w:spacing w:after="0" w:line="276" w:lineRule="auto"/>
        <w:jc w:val="both"/>
        <w:rPr>
          <w:b/>
          <w:bCs/>
        </w:rPr>
      </w:pPr>
    </w:p>
    <w:p w14:paraId="3B152BD6" w14:textId="77777777" w:rsidR="0017144B" w:rsidRDefault="0017144B" w:rsidP="0017144B">
      <w:pPr>
        <w:spacing w:after="0" w:line="276" w:lineRule="auto"/>
        <w:jc w:val="both"/>
        <w:rPr>
          <w:b/>
          <w:bCs/>
        </w:rPr>
      </w:pPr>
    </w:p>
    <w:p w14:paraId="301201F7" w14:textId="3DE23028" w:rsidR="0039496B" w:rsidRDefault="0039496B" w:rsidP="0017144B">
      <w:pPr>
        <w:spacing w:after="0" w:line="276" w:lineRule="auto"/>
        <w:jc w:val="both"/>
        <w:rPr>
          <w:b/>
          <w:bCs/>
        </w:rPr>
      </w:pPr>
    </w:p>
    <w:p w14:paraId="76DA9B64" w14:textId="77777777" w:rsidR="0017144B" w:rsidRDefault="0017144B" w:rsidP="0017144B">
      <w:pPr>
        <w:spacing w:after="0" w:line="276" w:lineRule="auto"/>
        <w:jc w:val="both"/>
        <w:rPr>
          <w:b/>
          <w:bCs/>
        </w:rPr>
      </w:pPr>
    </w:p>
    <w:p w14:paraId="75F49BAA" w14:textId="77777777" w:rsidR="0017144B" w:rsidRDefault="0017144B" w:rsidP="0017144B">
      <w:pPr>
        <w:spacing w:after="0" w:line="276" w:lineRule="auto"/>
        <w:jc w:val="both"/>
        <w:rPr>
          <w:b/>
          <w:bCs/>
        </w:rPr>
      </w:pPr>
    </w:p>
    <w:p w14:paraId="07BAEA64" w14:textId="77777777" w:rsidR="0017144B" w:rsidRDefault="0017144B" w:rsidP="0017144B">
      <w:pPr>
        <w:spacing w:after="0" w:line="276" w:lineRule="auto"/>
        <w:jc w:val="both"/>
        <w:rPr>
          <w:b/>
          <w:bCs/>
        </w:rPr>
      </w:pPr>
    </w:p>
    <w:p w14:paraId="35173043" w14:textId="77777777" w:rsidR="0017144B" w:rsidRDefault="0017144B" w:rsidP="0017144B">
      <w:pPr>
        <w:spacing w:after="0" w:line="276" w:lineRule="auto"/>
        <w:jc w:val="both"/>
        <w:rPr>
          <w:b/>
          <w:bCs/>
        </w:rPr>
      </w:pPr>
    </w:p>
    <w:p w14:paraId="66EA5410" w14:textId="77777777" w:rsidR="0017144B" w:rsidRDefault="0017144B" w:rsidP="0017144B">
      <w:pPr>
        <w:spacing w:after="0" w:line="276" w:lineRule="auto"/>
        <w:jc w:val="both"/>
        <w:rPr>
          <w:b/>
          <w:bCs/>
        </w:rPr>
      </w:pPr>
    </w:p>
    <w:p w14:paraId="3109014D" w14:textId="77777777" w:rsidR="0017144B" w:rsidRDefault="0017144B" w:rsidP="0017144B">
      <w:pPr>
        <w:spacing w:after="0" w:line="276" w:lineRule="auto"/>
        <w:jc w:val="both"/>
        <w:rPr>
          <w:b/>
          <w:bCs/>
        </w:rPr>
      </w:pPr>
    </w:p>
    <w:p w14:paraId="48BA6FAC" w14:textId="77777777" w:rsidR="0055344B" w:rsidRDefault="0055344B" w:rsidP="0017144B">
      <w:pPr>
        <w:pBdr>
          <w:bottom w:val="single" w:sz="4" w:space="1" w:color="000000"/>
        </w:pBdr>
        <w:spacing w:after="0" w:line="276" w:lineRule="auto"/>
        <w:rPr>
          <w:i/>
          <w:sz w:val="18"/>
          <w:szCs w:val="18"/>
        </w:rPr>
      </w:pPr>
    </w:p>
    <w:p w14:paraId="584FD4F5" w14:textId="3D0798A0" w:rsidR="00002E55" w:rsidRPr="0055344B" w:rsidRDefault="0055344B" w:rsidP="0017144B">
      <w:pPr>
        <w:pBdr>
          <w:bottom w:val="single" w:sz="4" w:space="1" w:color="000000"/>
        </w:pBdr>
        <w:spacing w:after="0" w:line="276" w:lineRule="auto"/>
        <w:jc w:val="center"/>
        <w:rPr>
          <w:i/>
          <w:sz w:val="18"/>
          <w:szCs w:val="18"/>
        </w:rPr>
      </w:pPr>
      <w:r w:rsidRPr="0055344B">
        <w:rPr>
          <w:i/>
          <w:sz w:val="18"/>
          <w:szCs w:val="18"/>
        </w:rPr>
        <w:lastRenderedPageBreak/>
        <w:t>¿Y las oportunidades económicas en su país hoy en día?</w:t>
      </w:r>
    </w:p>
    <w:p w14:paraId="1A4EBF86" w14:textId="34C7B44B" w:rsidR="00001BBB" w:rsidRDefault="00002E55" w:rsidP="0017144B">
      <w:pPr>
        <w:spacing w:after="0" w:line="276" w:lineRule="auto"/>
        <w:jc w:val="center"/>
        <w:rPr>
          <w:sz w:val="16"/>
          <w:szCs w:val="16"/>
        </w:rPr>
      </w:pPr>
      <w:r w:rsidRPr="00002E55">
        <w:rPr>
          <w:noProof/>
          <w:sz w:val="16"/>
          <w:szCs w:val="16"/>
          <w:lang w:eastAsia="es-AR"/>
        </w:rPr>
        <w:drawing>
          <wp:inline distT="0" distB="0" distL="0" distR="0" wp14:anchorId="78448D27" wp14:editId="605B1CBA">
            <wp:extent cx="5686425" cy="8001000"/>
            <wp:effectExtent l="0" t="0" r="0" b="0"/>
            <wp:docPr id="1285605399"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5344B" w:rsidRPr="0055344B">
        <w:rPr>
          <w:sz w:val="16"/>
          <w:szCs w:val="16"/>
        </w:rPr>
        <w:t xml:space="preserve"> </w:t>
      </w:r>
      <w:r w:rsidR="0055344B" w:rsidRPr="008D144E">
        <w:rPr>
          <w:sz w:val="16"/>
          <w:szCs w:val="16"/>
        </w:rPr>
        <w:t xml:space="preserve">Encuesta Global. VOICES! en Argentina. </w:t>
      </w:r>
    </w:p>
    <w:p w14:paraId="0BC6FC7F" w14:textId="6BD1400B" w:rsidR="00537469" w:rsidRDefault="00537469" w:rsidP="0017144B">
      <w:pPr>
        <w:spacing w:after="0" w:line="276" w:lineRule="auto"/>
        <w:jc w:val="both"/>
      </w:pPr>
    </w:p>
    <w:p w14:paraId="5592D0C5" w14:textId="7C5FE942" w:rsidR="00537469" w:rsidRDefault="00537469" w:rsidP="0017144B">
      <w:pPr>
        <w:spacing w:after="0" w:line="276" w:lineRule="auto"/>
        <w:jc w:val="both"/>
      </w:pPr>
    </w:p>
    <w:p w14:paraId="59D4F727" w14:textId="77777777" w:rsidR="00537469" w:rsidRPr="00336619" w:rsidRDefault="00537469" w:rsidP="0017144B">
      <w:pPr>
        <w:spacing w:after="0" w:line="276" w:lineRule="auto"/>
        <w:jc w:val="both"/>
        <w:rPr>
          <w:b/>
          <w:bCs/>
        </w:rPr>
      </w:pPr>
      <w:r w:rsidRPr="00336619">
        <w:rPr>
          <w:b/>
          <w:bCs/>
        </w:rPr>
        <w:t>ACERCA DE VOICES!</w:t>
      </w:r>
    </w:p>
    <w:p w14:paraId="5A1A7A0B" w14:textId="70CFF14D" w:rsidR="00537469" w:rsidRDefault="00537469" w:rsidP="0017144B">
      <w:pPr>
        <w:spacing w:after="0" w:line="276" w:lineRule="auto"/>
        <w:jc w:val="both"/>
      </w:pPr>
      <w:proofErr w:type="spellStart"/>
      <w:r>
        <w:t>Voices</w:t>
      </w:r>
      <w:proofErr w:type="spellEnd"/>
      <w:r>
        <w:t xml:space="preserve">! </w:t>
      </w:r>
      <w:proofErr w:type="spellStart"/>
      <w:r>
        <w:t>Research</w:t>
      </w:r>
      <w:proofErr w:type="spellEnd"/>
      <w:r>
        <w:t xml:space="preserve"> &amp;</w:t>
      </w:r>
      <w:r w:rsidR="00CD502C">
        <w:t xml:space="preserve"> </w:t>
      </w:r>
      <w:proofErr w:type="spellStart"/>
      <w:r>
        <w:t>Consultancy</w:t>
      </w:r>
      <w:proofErr w:type="spellEnd"/>
      <w:r>
        <w:t xml:space="preserve"> es una empresa con foco en la investigación social, política y de mercado, con el objetivo de proporcionar consultoría a las organizaciones usando rigurosas metodologías y enfoques innovadores. El equipo de VOICES!  tiene una amplia experiencia en estudios nacionales e internacionales y ha participado en las investigaciones con encuestas más importantes del mundo. </w:t>
      </w:r>
    </w:p>
    <w:p w14:paraId="44C8E0E5" w14:textId="77777777" w:rsidR="00537469" w:rsidRDefault="00000000" w:rsidP="0017144B">
      <w:pPr>
        <w:spacing w:after="0" w:line="276" w:lineRule="auto"/>
        <w:jc w:val="both"/>
      </w:pPr>
      <w:hyperlink r:id="rId9" w:history="1">
        <w:r w:rsidR="00537469" w:rsidRPr="00F93470">
          <w:rPr>
            <w:rStyle w:val="Hipervnculo"/>
          </w:rPr>
          <w:t>http://www.voicesconsultancy.com/</w:t>
        </w:r>
      </w:hyperlink>
      <w:r w:rsidR="00537469">
        <w:t xml:space="preserve"> </w:t>
      </w:r>
    </w:p>
    <w:p w14:paraId="6968966B" w14:textId="77777777" w:rsidR="00537469" w:rsidRPr="00336619" w:rsidRDefault="00537469" w:rsidP="0017144B">
      <w:pPr>
        <w:spacing w:after="0" w:line="276" w:lineRule="auto"/>
        <w:jc w:val="both"/>
        <w:rPr>
          <w:b/>
          <w:bCs/>
        </w:rPr>
      </w:pPr>
      <w:r w:rsidRPr="00336619">
        <w:rPr>
          <w:b/>
          <w:bCs/>
        </w:rPr>
        <w:t> </w:t>
      </w:r>
    </w:p>
    <w:p w14:paraId="6C5F6FEB" w14:textId="77777777" w:rsidR="00537469" w:rsidRPr="00336619" w:rsidRDefault="00537469" w:rsidP="0017144B">
      <w:pPr>
        <w:spacing w:after="0" w:line="276" w:lineRule="auto"/>
        <w:jc w:val="both"/>
        <w:rPr>
          <w:b/>
          <w:bCs/>
        </w:rPr>
      </w:pPr>
      <w:r w:rsidRPr="00336619">
        <w:rPr>
          <w:b/>
          <w:bCs/>
        </w:rPr>
        <w:t>ESTUDIO INTERNACIONAL</w:t>
      </w:r>
    </w:p>
    <w:p w14:paraId="7A441DC9" w14:textId="77777777" w:rsidR="00CD502C" w:rsidRDefault="00CD502C" w:rsidP="0017144B">
      <w:pPr>
        <w:spacing w:after="0" w:line="276" w:lineRule="auto"/>
        <w:jc w:val="both"/>
        <w:rPr>
          <w:b/>
          <w:bCs/>
        </w:rPr>
      </w:pPr>
    </w:p>
    <w:p w14:paraId="7EBDD1A6" w14:textId="734AB603" w:rsidR="00537469" w:rsidRDefault="00537469" w:rsidP="0017144B">
      <w:pPr>
        <w:spacing w:after="0" w:line="276" w:lineRule="auto"/>
        <w:jc w:val="both"/>
      </w:pPr>
      <w:r w:rsidRPr="00336619">
        <w:rPr>
          <w:b/>
          <w:bCs/>
        </w:rPr>
        <w:t>Tamaño de la muestra y trabajo de campo:</w:t>
      </w:r>
      <w:r>
        <w:t xml:space="preserve"> Se entrevistó a un total de </w:t>
      </w:r>
      <w:r w:rsidRPr="00537469">
        <w:t>5</w:t>
      </w:r>
      <w:r w:rsidR="003F4145">
        <w:t>7</w:t>
      </w:r>
      <w:r>
        <w:t>.</w:t>
      </w:r>
      <w:r w:rsidRPr="00537469">
        <w:t>0</w:t>
      </w:r>
      <w:r w:rsidR="003F4145">
        <w:t>37</w:t>
      </w:r>
      <w:r>
        <w:t xml:space="preserve"> personas en todo el mundo. En cada país se entrevistó una muestra representativa de unos 1.000 mujeres y hombres durante los meses de agosto y octubre de 2022, ya sea cara a cara, online o por teléfono. El margen de error de la encuesta se sitúa entre +3-5% con un nivel de confianza del 95%.</w:t>
      </w:r>
    </w:p>
    <w:p w14:paraId="5320C830" w14:textId="77777777" w:rsidR="00537469" w:rsidRDefault="00537469" w:rsidP="0017144B">
      <w:pPr>
        <w:spacing w:after="0" w:line="276" w:lineRule="auto"/>
        <w:jc w:val="both"/>
      </w:pPr>
      <w:r>
        <w:t>En Argentina se realizaron 930 casos.</w:t>
      </w:r>
    </w:p>
    <w:p w14:paraId="6F65D5F0" w14:textId="77777777" w:rsidR="00CA6B89" w:rsidRPr="007122C6" w:rsidRDefault="00CA6B89" w:rsidP="0017144B">
      <w:pPr>
        <w:spacing w:after="0" w:line="276" w:lineRule="auto"/>
        <w:jc w:val="both"/>
      </w:pPr>
    </w:p>
    <w:p w14:paraId="1AC583B6" w14:textId="3D2FD75D" w:rsidR="00537469" w:rsidRPr="00336619" w:rsidRDefault="00537469" w:rsidP="0017144B">
      <w:pPr>
        <w:spacing w:after="0" w:line="276" w:lineRule="auto"/>
        <w:jc w:val="both"/>
        <w:rPr>
          <w:b/>
          <w:bCs/>
        </w:rPr>
      </w:pPr>
      <w:r w:rsidRPr="00336619">
        <w:rPr>
          <w:b/>
          <w:bCs/>
        </w:rPr>
        <w:t>CONTACTO</w:t>
      </w:r>
    </w:p>
    <w:p w14:paraId="265A90BF" w14:textId="77777777" w:rsidR="00537469" w:rsidRDefault="00537469" w:rsidP="0017144B">
      <w:pPr>
        <w:spacing w:after="0" w:line="276" w:lineRule="auto"/>
        <w:jc w:val="both"/>
      </w:pPr>
      <w:r>
        <w:t>Constanza Cilley | Directora Ejecutiva VOICES!</w:t>
      </w:r>
    </w:p>
    <w:p w14:paraId="7B6FA8A1" w14:textId="77777777" w:rsidR="00537469" w:rsidRDefault="00000000" w:rsidP="0017144B">
      <w:pPr>
        <w:spacing w:after="0" w:line="276" w:lineRule="auto"/>
        <w:jc w:val="both"/>
      </w:pPr>
      <w:hyperlink r:id="rId10" w:history="1">
        <w:r w:rsidR="00537469" w:rsidRPr="00F93470">
          <w:rPr>
            <w:rStyle w:val="Hipervnculo"/>
          </w:rPr>
          <w:t>constanzacilley@voicesconsultancy.com</w:t>
        </w:r>
      </w:hyperlink>
      <w:r w:rsidR="00537469">
        <w:t xml:space="preserve"> </w:t>
      </w:r>
    </w:p>
    <w:p w14:paraId="05A52001" w14:textId="77777777" w:rsidR="00537469" w:rsidRDefault="00537469" w:rsidP="0017144B">
      <w:pPr>
        <w:spacing w:after="0" w:line="276" w:lineRule="auto"/>
        <w:jc w:val="both"/>
      </w:pPr>
      <w:r>
        <w:t>Cel: 1565724467</w:t>
      </w:r>
    </w:p>
    <w:p w14:paraId="2AC96F0D" w14:textId="77777777" w:rsidR="00537469" w:rsidRDefault="00537469" w:rsidP="0017144B">
      <w:pPr>
        <w:spacing w:after="0" w:line="276" w:lineRule="auto"/>
        <w:jc w:val="both"/>
      </w:pPr>
    </w:p>
    <w:p w14:paraId="5B5C7801" w14:textId="77777777" w:rsidR="00537469" w:rsidRPr="00217D8A" w:rsidRDefault="00537469" w:rsidP="0017144B">
      <w:pPr>
        <w:spacing w:after="0" w:line="276" w:lineRule="auto"/>
        <w:jc w:val="both"/>
        <w:rPr>
          <w:b/>
          <w:bCs/>
        </w:rPr>
      </w:pPr>
    </w:p>
    <w:sectPr w:rsidR="00537469" w:rsidRPr="00217D8A">
      <w:head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ED937" w14:textId="77777777" w:rsidR="00F33F00" w:rsidRDefault="00F33F00" w:rsidP="00492C34">
      <w:pPr>
        <w:spacing w:after="0" w:line="240" w:lineRule="auto"/>
      </w:pPr>
      <w:r>
        <w:separator/>
      </w:r>
    </w:p>
  </w:endnote>
  <w:endnote w:type="continuationSeparator" w:id="0">
    <w:p w14:paraId="45356982" w14:textId="77777777" w:rsidR="00F33F00" w:rsidRDefault="00F33F00" w:rsidP="0049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63AD" w14:textId="77777777" w:rsidR="00F33F00" w:rsidRDefault="00F33F00" w:rsidP="00492C34">
      <w:pPr>
        <w:spacing w:after="0" w:line="240" w:lineRule="auto"/>
      </w:pPr>
      <w:r>
        <w:separator/>
      </w:r>
    </w:p>
  </w:footnote>
  <w:footnote w:type="continuationSeparator" w:id="0">
    <w:p w14:paraId="43716665" w14:textId="77777777" w:rsidR="00F33F00" w:rsidRDefault="00F33F00" w:rsidP="00492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E45B" w14:textId="77777777" w:rsidR="00492C34" w:rsidRDefault="00492C34">
    <w:pPr>
      <w:pStyle w:val="Encabezado"/>
    </w:pPr>
    <w:r>
      <w:rPr>
        <w:noProof/>
        <w:lang w:eastAsia="es-AR"/>
      </w:rPr>
      <w:drawing>
        <wp:inline distT="0" distB="0" distL="0" distR="0" wp14:anchorId="5163ED59" wp14:editId="01953F6F">
          <wp:extent cx="1019175" cy="740494"/>
          <wp:effectExtent l="0" t="0" r="0" b="2540"/>
          <wp:docPr id="378770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877061" name="Imagen 37877061"/>
                  <pic:cNvPicPr/>
                </pic:nvPicPr>
                <pic:blipFill>
                  <a:blip r:embed="rId1">
                    <a:extLst>
                      <a:ext uri="{28A0092B-C50C-407E-A947-70E740481C1C}">
                        <a14:useLocalDpi xmlns:a14="http://schemas.microsoft.com/office/drawing/2010/main" val="0"/>
                      </a:ext>
                    </a:extLst>
                  </a:blip>
                  <a:stretch>
                    <a:fillRect/>
                  </a:stretch>
                </pic:blipFill>
                <pic:spPr>
                  <a:xfrm>
                    <a:off x="0" y="0"/>
                    <a:ext cx="1025137" cy="7448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AB1"/>
    <w:rsid w:val="00001BBB"/>
    <w:rsid w:val="00002E55"/>
    <w:rsid w:val="00023E75"/>
    <w:rsid w:val="00035C9A"/>
    <w:rsid w:val="00071EC8"/>
    <w:rsid w:val="000C041A"/>
    <w:rsid w:val="000D1D8F"/>
    <w:rsid w:val="000E4C61"/>
    <w:rsid w:val="000F460F"/>
    <w:rsid w:val="00140C2A"/>
    <w:rsid w:val="0017144B"/>
    <w:rsid w:val="001915A1"/>
    <w:rsid w:val="00192D97"/>
    <w:rsid w:val="001954CC"/>
    <w:rsid w:val="001B2E00"/>
    <w:rsid w:val="001E3F90"/>
    <w:rsid w:val="00217D8A"/>
    <w:rsid w:val="00223B1F"/>
    <w:rsid w:val="00226149"/>
    <w:rsid w:val="00240F74"/>
    <w:rsid w:val="00254E33"/>
    <w:rsid w:val="00270157"/>
    <w:rsid w:val="0028563F"/>
    <w:rsid w:val="002A6004"/>
    <w:rsid w:val="00320DB9"/>
    <w:rsid w:val="003247D9"/>
    <w:rsid w:val="00343FA4"/>
    <w:rsid w:val="0039496B"/>
    <w:rsid w:val="003B7C53"/>
    <w:rsid w:val="003F4145"/>
    <w:rsid w:val="003F7615"/>
    <w:rsid w:val="00473B3C"/>
    <w:rsid w:val="004763F4"/>
    <w:rsid w:val="004772E4"/>
    <w:rsid w:val="00492C34"/>
    <w:rsid w:val="005246A1"/>
    <w:rsid w:val="00537469"/>
    <w:rsid w:val="0055344B"/>
    <w:rsid w:val="006241B5"/>
    <w:rsid w:val="006347CC"/>
    <w:rsid w:val="00671BD1"/>
    <w:rsid w:val="006A1B2E"/>
    <w:rsid w:val="006A4155"/>
    <w:rsid w:val="006E21EF"/>
    <w:rsid w:val="00706518"/>
    <w:rsid w:val="007122C6"/>
    <w:rsid w:val="007300D9"/>
    <w:rsid w:val="00742038"/>
    <w:rsid w:val="00753131"/>
    <w:rsid w:val="00787407"/>
    <w:rsid w:val="007C416A"/>
    <w:rsid w:val="007C4947"/>
    <w:rsid w:val="00806C46"/>
    <w:rsid w:val="00880765"/>
    <w:rsid w:val="008D0F4C"/>
    <w:rsid w:val="008D144E"/>
    <w:rsid w:val="008F45D2"/>
    <w:rsid w:val="008F6A48"/>
    <w:rsid w:val="00975C95"/>
    <w:rsid w:val="009866D1"/>
    <w:rsid w:val="009E6565"/>
    <w:rsid w:val="009E7595"/>
    <w:rsid w:val="00A743CB"/>
    <w:rsid w:val="00A9483B"/>
    <w:rsid w:val="00AB04BB"/>
    <w:rsid w:val="00B14868"/>
    <w:rsid w:val="00B25867"/>
    <w:rsid w:val="00B32C82"/>
    <w:rsid w:val="00B36894"/>
    <w:rsid w:val="00B4526F"/>
    <w:rsid w:val="00B83F87"/>
    <w:rsid w:val="00BE38BF"/>
    <w:rsid w:val="00C00464"/>
    <w:rsid w:val="00C32585"/>
    <w:rsid w:val="00C84460"/>
    <w:rsid w:val="00CA6B89"/>
    <w:rsid w:val="00CB1BB1"/>
    <w:rsid w:val="00CD502C"/>
    <w:rsid w:val="00D05493"/>
    <w:rsid w:val="00D42EC5"/>
    <w:rsid w:val="00DA5943"/>
    <w:rsid w:val="00E42516"/>
    <w:rsid w:val="00E45F9A"/>
    <w:rsid w:val="00E60AB1"/>
    <w:rsid w:val="00EC385F"/>
    <w:rsid w:val="00EC4C33"/>
    <w:rsid w:val="00ED2475"/>
    <w:rsid w:val="00EE5A3B"/>
    <w:rsid w:val="00EF1032"/>
    <w:rsid w:val="00F15A34"/>
    <w:rsid w:val="00F27F02"/>
    <w:rsid w:val="00F33F00"/>
    <w:rsid w:val="00F76F43"/>
    <w:rsid w:val="00FB0B95"/>
    <w:rsid w:val="00FC5A0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2B6A3"/>
  <w15:chartTrackingRefBased/>
  <w15:docId w15:val="{85A3A56E-6795-4B48-91B7-A1586D6D9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92C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2C34"/>
  </w:style>
  <w:style w:type="paragraph" w:styleId="Piedepgina">
    <w:name w:val="footer"/>
    <w:basedOn w:val="Normal"/>
    <w:link w:val="PiedepginaCar"/>
    <w:uiPriority w:val="99"/>
    <w:unhideWhenUsed/>
    <w:rsid w:val="00492C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2C34"/>
  </w:style>
  <w:style w:type="character" w:styleId="Refdecomentario">
    <w:name w:val="annotation reference"/>
    <w:basedOn w:val="Fuentedeprrafopredeter"/>
    <w:uiPriority w:val="99"/>
    <w:semiHidden/>
    <w:unhideWhenUsed/>
    <w:rsid w:val="000C041A"/>
    <w:rPr>
      <w:sz w:val="16"/>
      <w:szCs w:val="16"/>
    </w:rPr>
  </w:style>
  <w:style w:type="paragraph" w:styleId="Textocomentario">
    <w:name w:val="annotation text"/>
    <w:basedOn w:val="Normal"/>
    <w:link w:val="TextocomentarioCar"/>
    <w:uiPriority w:val="99"/>
    <w:unhideWhenUsed/>
    <w:rsid w:val="000C041A"/>
    <w:pPr>
      <w:spacing w:line="240" w:lineRule="auto"/>
    </w:pPr>
    <w:rPr>
      <w:sz w:val="20"/>
      <w:szCs w:val="20"/>
    </w:rPr>
  </w:style>
  <w:style w:type="character" w:customStyle="1" w:styleId="TextocomentarioCar">
    <w:name w:val="Texto comentario Car"/>
    <w:basedOn w:val="Fuentedeprrafopredeter"/>
    <w:link w:val="Textocomentario"/>
    <w:uiPriority w:val="99"/>
    <w:rsid w:val="000C041A"/>
    <w:rPr>
      <w:sz w:val="20"/>
      <w:szCs w:val="20"/>
    </w:rPr>
  </w:style>
  <w:style w:type="paragraph" w:styleId="Asuntodelcomentario">
    <w:name w:val="annotation subject"/>
    <w:basedOn w:val="Textocomentario"/>
    <w:next w:val="Textocomentario"/>
    <w:link w:val="AsuntodelcomentarioCar"/>
    <w:uiPriority w:val="99"/>
    <w:semiHidden/>
    <w:unhideWhenUsed/>
    <w:rsid w:val="000C041A"/>
    <w:rPr>
      <w:b/>
      <w:bCs/>
    </w:rPr>
  </w:style>
  <w:style w:type="character" w:customStyle="1" w:styleId="AsuntodelcomentarioCar">
    <w:name w:val="Asunto del comentario Car"/>
    <w:basedOn w:val="TextocomentarioCar"/>
    <w:link w:val="Asuntodelcomentario"/>
    <w:uiPriority w:val="99"/>
    <w:semiHidden/>
    <w:rsid w:val="000C041A"/>
    <w:rPr>
      <w:b/>
      <w:bCs/>
      <w:sz w:val="20"/>
      <w:szCs w:val="20"/>
    </w:rPr>
  </w:style>
  <w:style w:type="paragraph" w:styleId="Textodeglobo">
    <w:name w:val="Balloon Text"/>
    <w:basedOn w:val="Normal"/>
    <w:link w:val="TextodegloboCar"/>
    <w:uiPriority w:val="99"/>
    <w:semiHidden/>
    <w:unhideWhenUsed/>
    <w:rsid w:val="0088076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0765"/>
    <w:rPr>
      <w:rFonts w:ascii="Segoe UI" w:hAnsi="Segoe UI" w:cs="Segoe UI"/>
      <w:sz w:val="18"/>
      <w:szCs w:val="18"/>
    </w:rPr>
  </w:style>
  <w:style w:type="character" w:styleId="Hipervnculo">
    <w:name w:val="Hyperlink"/>
    <w:basedOn w:val="Fuentedeprrafopredeter"/>
    <w:uiPriority w:val="99"/>
    <w:unhideWhenUsed/>
    <w:rsid w:val="005374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onstanzacilley@voicesconsultancy.com" TargetMode="External"/><Relationship Id="rId4" Type="http://schemas.openxmlformats.org/officeDocument/2006/relationships/webSettings" Target="webSettings.xml"/><Relationship Id="rId9" Type="http://schemas.openxmlformats.org/officeDocument/2006/relationships/hyperlink" Target="http://www.voicesconsultanc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Suficientes</c:v>
                </c:pt>
              </c:strCache>
            </c:strRef>
          </c:tx>
          <c:spPr>
            <a:solidFill>
              <a:srgbClr val="0070C0"/>
            </a:solidFill>
            <a:ln>
              <a:solidFill>
                <a:srgbClr val="0070C0"/>
              </a:solidFill>
            </a:ln>
            <a:effectLst/>
          </c:spPr>
          <c:invertIfNegative val="0"/>
          <c:dLbls>
            <c:dLbl>
              <c:idx val="2"/>
              <c:layout>
                <c:manualLayout>
                  <c:x val="-7.75554302893649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0F0-4E1A-8A70-EF399C3E9269}"/>
                </c:ext>
              </c:extLst>
            </c:dLbl>
            <c:dLbl>
              <c:idx val="4"/>
              <c:layout>
                <c:manualLayout>
                  <c:x val="-5.568082174621069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0F0-4E1A-8A70-EF399C3E9269}"/>
                </c:ext>
              </c:extLst>
            </c:dLbl>
            <c:dLbl>
              <c:idx val="7"/>
              <c:layout>
                <c:manualLayout>
                  <c:x val="5.568082174621062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0F0-4E1A-8A70-EF399C3E9269}"/>
                </c:ext>
              </c:extLst>
            </c:dLbl>
            <c:dLbl>
              <c:idx val="8"/>
              <c:layout>
                <c:manualLayout>
                  <c:x val="-2.784041087310542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0F0-4E1A-8A70-EF399C3E9269}"/>
                </c:ext>
              </c:extLst>
            </c:dLbl>
            <c:dLbl>
              <c:idx val="9"/>
              <c:layout>
                <c:manualLayout>
                  <c:x val="3.1817612426406114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0F0-4E1A-8A70-EF399C3E9269}"/>
                </c:ext>
              </c:extLst>
            </c:dLbl>
            <c:dLbl>
              <c:idx val="10"/>
              <c:layout>
                <c:manualLayout>
                  <c:x val="-5.568082174621069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0F0-4E1A-8A70-EF399C3E9269}"/>
                </c:ext>
              </c:extLst>
            </c:dLbl>
            <c:dLbl>
              <c:idx val="12"/>
              <c:layout>
                <c:manualLayout>
                  <c:x val="5.766942252286107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0F0-4E1A-8A70-EF399C3E9269}"/>
                </c:ext>
              </c:extLst>
            </c:dLbl>
            <c:dLbl>
              <c:idx val="13"/>
              <c:layout>
                <c:manualLayout>
                  <c:x val="0.11335024426907178"/>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0F0-4E1A-8A70-EF399C3E9269}"/>
                </c:ext>
              </c:extLst>
            </c:dLbl>
            <c:dLbl>
              <c:idx val="14"/>
              <c:layout>
                <c:manualLayout>
                  <c:x val="-1.9886007766503819E-2"/>
                  <c:y val="2.824243615403561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0F0-4E1A-8A70-EF399C3E9269}"/>
                </c:ext>
              </c:extLst>
            </c:dLbl>
            <c:dLbl>
              <c:idx val="15"/>
              <c:layout>
                <c:manualLayout>
                  <c:x val="4.37492170863084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0F0-4E1A-8A70-EF399C3E9269}"/>
                </c:ext>
              </c:extLst>
            </c:dLbl>
            <c:dLbl>
              <c:idx val="16"/>
              <c:layout>
                <c:manualLayout>
                  <c:x val="-4.5737817862958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90F0-4E1A-8A70-EF399C3E9269}"/>
                </c:ext>
              </c:extLst>
            </c:dLbl>
            <c:dLbl>
              <c:idx val="17"/>
              <c:layout>
                <c:manualLayout>
                  <c:x val="4.3749217086308405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0F0-4E1A-8A70-EF399C3E9269}"/>
                </c:ext>
              </c:extLst>
            </c:dLbl>
            <c:dLbl>
              <c:idx val="18"/>
              <c:layout>
                <c:manualLayout>
                  <c:x val="-5.3692220969560313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0F0-4E1A-8A70-EF399C3E9269}"/>
                </c:ext>
              </c:extLst>
            </c:dLbl>
            <c:dLbl>
              <c:idx val="20"/>
              <c:layout>
                <c:manualLayout>
                  <c:x val="4.772641863960909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0F0-4E1A-8A70-EF399C3E9269}"/>
                </c:ext>
              </c:extLst>
            </c:dLbl>
            <c:dLbl>
              <c:idx val="21"/>
              <c:layout>
                <c:manualLayout>
                  <c:x val="-2.9829011649755804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0F0-4E1A-8A70-EF399C3E9269}"/>
                </c:ext>
              </c:extLst>
            </c:dLbl>
            <c:dLbl>
              <c:idx val="22"/>
              <c:layout>
                <c:manualLayout>
                  <c:x val="-8.352123261931608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90F0-4E1A-8A70-EF399C3E9269}"/>
                </c:ext>
              </c:extLst>
            </c:dLbl>
            <c:dLbl>
              <c:idx val="23"/>
              <c:layout>
                <c:manualLayout>
                  <c:x val="-3.579481397970691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0F0-4E1A-8A70-EF399C3E9269}"/>
                </c:ext>
              </c:extLst>
            </c:dLbl>
            <c:dLbl>
              <c:idx val="24"/>
              <c:layout>
                <c:manualLayout>
                  <c:x val="2.18746085431542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0F0-4E1A-8A70-EF399C3E9269}"/>
                </c:ext>
              </c:extLst>
            </c:dLbl>
            <c:dLbl>
              <c:idx val="25"/>
              <c:layout>
                <c:manualLayout>
                  <c:x val="4.77264186396091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0F0-4E1A-8A70-EF399C3E9269}"/>
                </c:ext>
              </c:extLst>
            </c:dLbl>
            <c:dLbl>
              <c:idx val="26"/>
              <c:layout>
                <c:manualLayout>
                  <c:x val="-3.3806213203056497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90F0-4E1A-8A70-EF399C3E9269}"/>
                </c:ext>
              </c:extLst>
            </c:dLbl>
            <c:dLbl>
              <c:idx val="27"/>
              <c:layout>
                <c:manualLayout>
                  <c:x val="3.3806213203056497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4-90F0-4E1A-8A70-EF399C3E9269}"/>
                </c:ext>
              </c:extLst>
            </c:dLbl>
            <c:dLbl>
              <c:idx val="28"/>
              <c:layout>
                <c:manualLayout>
                  <c:x val="8.153263184266566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90F0-4E1A-8A70-EF399C3E9269}"/>
                </c:ext>
              </c:extLst>
            </c:dLbl>
            <c:dLbl>
              <c:idx val="29"/>
              <c:layout>
                <c:manualLayout>
                  <c:x val="-5.3692220969560354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6-90F0-4E1A-8A70-EF399C3E9269}"/>
                </c:ext>
              </c:extLst>
            </c:dLbl>
            <c:dLbl>
              <c:idx val="30"/>
              <c:layout>
                <c:manualLayout>
                  <c:x val="4.7726418639609171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90F0-4E1A-8A70-EF399C3E9269}"/>
                </c:ext>
              </c:extLst>
            </c:dLbl>
            <c:dLbl>
              <c:idx val="32"/>
              <c:layout>
                <c:manualLayout>
                  <c:x val="-4.573781786295875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8-90F0-4E1A-8A70-EF399C3E9269}"/>
                </c:ext>
              </c:extLst>
            </c:dLbl>
            <c:dLbl>
              <c:idx val="34"/>
              <c:layout>
                <c:manualLayout>
                  <c:x val="5.3692220969560243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90F0-4E1A-8A70-EF399C3E9269}"/>
                </c:ext>
              </c:extLst>
            </c:dLbl>
            <c:dLbl>
              <c:idx val="35"/>
              <c:layout>
                <c:manualLayout>
                  <c:x val="-5.369222096956031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A-90F0-4E1A-8A70-EF399C3E9269}"/>
                </c:ext>
              </c:extLst>
            </c:dLbl>
            <c:dLbl>
              <c:idx val="37"/>
              <c:layout>
                <c:manualLayout>
                  <c:x val="-9.3464236502567993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90F0-4E1A-8A70-EF399C3E9269}"/>
                </c:ext>
              </c:extLst>
            </c:dLbl>
            <c:dLbl>
              <c:idx val="38"/>
              <c:layout>
                <c:manualLayout>
                  <c:x val="-4.374921708630837E-2"/>
                  <c:y val="1.2130033975392073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90F0-4E1A-8A70-EF399C3E9269}"/>
                </c:ext>
              </c:extLst>
            </c:dLbl>
            <c:dLbl>
              <c:idx val="39"/>
              <c:layout>
                <c:manualLayout>
                  <c:x val="2.9829011649755731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90F0-4E1A-8A70-EF399C3E9269}"/>
                </c:ext>
              </c:extLst>
            </c:dLbl>
            <c:dLbl>
              <c:idx val="40"/>
              <c:layout>
                <c:manualLayout>
                  <c:x val="-4.77264186396091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90F0-4E1A-8A70-EF399C3E9269}"/>
                </c:ext>
              </c:extLst>
            </c:dLbl>
            <c:dLbl>
              <c:idx val="42"/>
              <c:layout>
                <c:manualLayout>
                  <c:x val="5.17036201929098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90F0-4E1A-8A70-EF399C3E9269}"/>
                </c:ext>
              </c:extLst>
            </c:dLbl>
            <c:dLbl>
              <c:idx val="43"/>
              <c:layout>
                <c:manualLayout>
                  <c:x val="-9.943003883251913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90F0-4E1A-8A70-EF399C3E9269}"/>
                </c:ext>
              </c:extLst>
            </c:dLbl>
            <c:dLbl>
              <c:idx val="44"/>
              <c:layout>
                <c:manualLayout>
                  <c:x val="-4.971501941625958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90F0-4E1A-8A70-EF399C3E9269}"/>
                </c:ext>
              </c:extLst>
            </c:dLbl>
            <c:dLbl>
              <c:idx val="46"/>
              <c:layout>
                <c:manualLayout>
                  <c:x val="4.971501941625955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90F0-4E1A-8A70-EF399C3E9269}"/>
                </c:ext>
              </c:extLst>
            </c:dLbl>
            <c:dLbl>
              <c:idx val="47"/>
              <c:layout>
                <c:manualLayout>
                  <c:x val="-4.97150194162595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3-90F0-4E1A-8A70-EF399C3E9269}"/>
                </c:ext>
              </c:extLst>
            </c:dLbl>
            <c:dLbl>
              <c:idx val="49"/>
              <c:layout>
                <c:manualLayout>
                  <c:x val="-6.562382562946260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4-90F0-4E1A-8A70-EF399C3E9269}"/>
                </c:ext>
              </c:extLst>
            </c:dLbl>
            <c:dLbl>
              <c:idx val="50"/>
              <c:layout>
                <c:manualLayout>
                  <c:x val="3.7783414756357256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5-90F0-4E1A-8A70-EF399C3E9269}"/>
                </c:ext>
              </c:extLst>
            </c:dLbl>
            <c:dLbl>
              <c:idx val="51"/>
              <c:layout>
                <c:manualLayout>
                  <c:x val="-4.5737817862958788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6-90F0-4E1A-8A70-EF399C3E9269}"/>
                </c:ext>
              </c:extLst>
            </c:dLbl>
            <c:dLbl>
              <c:idx val="52"/>
              <c:layout>
                <c:manualLayout>
                  <c:x val="4.772641863960917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7-90F0-4E1A-8A70-EF399C3E9269}"/>
                </c:ext>
              </c:extLst>
            </c:dLbl>
            <c:dLbl>
              <c:idx val="53"/>
              <c:layout>
                <c:manualLayout>
                  <c:x val="-4.176061630965802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8-90F0-4E1A-8A70-EF399C3E9269}"/>
                </c:ext>
              </c:extLst>
            </c:dLbl>
            <c:dLbl>
              <c:idx val="55"/>
              <c:layout>
                <c:manualLayout>
                  <c:x val="4.3749217086308405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9-90F0-4E1A-8A70-EF399C3E9269}"/>
                </c:ext>
              </c:extLst>
            </c:dLbl>
            <c:dLbl>
              <c:idx val="56"/>
              <c:layout>
                <c:manualLayout>
                  <c:x val="-4.57378178629587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A-90F0-4E1A-8A70-EF399C3E9269}"/>
                </c:ext>
              </c:extLst>
            </c:dLbl>
            <c:dLbl>
              <c:idx val="57"/>
              <c:layout>
                <c:manualLayout>
                  <c:x val="1.590880621320305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B-90F0-4E1A-8A70-EF399C3E9269}"/>
                </c:ext>
              </c:extLst>
            </c:dLbl>
            <c:dLbl>
              <c:idx val="58"/>
              <c:layout>
                <c:manualLayout>
                  <c:x val="-4.77264186396092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C-90F0-4E1A-8A70-EF399C3E9269}"/>
                </c:ext>
              </c:extLst>
            </c:dLbl>
            <c:dLbl>
              <c:idx val="59"/>
              <c:layout>
                <c:manualLayout>
                  <c:x val="1.9886007766503858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D-90F0-4E1A-8A70-EF399C3E9269}"/>
                </c:ext>
              </c:extLst>
            </c:dLbl>
            <c:dLbl>
              <c:idx val="60"/>
              <c:layout>
                <c:manualLayout>
                  <c:x val="-4.9715019416259554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E-90F0-4E1A-8A70-EF399C3E9269}"/>
                </c:ext>
              </c:extLst>
            </c:dLbl>
            <c:spPr>
              <a:solidFill>
                <a:schemeClr val="bg1"/>
              </a:solidFill>
              <a:ln>
                <a:solidFill>
                  <a:srgbClr val="0070C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Sheet1!$A$2:$A$62</c:f>
              <c:strCache>
                <c:ptCount val="61"/>
                <c:pt idx="0">
                  <c:v>PROMEDIO GLOBAL</c:v>
                </c:pt>
                <c:pt idx="1">
                  <c:v>Emiratos Árabes Unidos</c:v>
                </c:pt>
                <c:pt idx="2">
                  <c:v>Portugal</c:v>
                </c:pt>
                <c:pt idx="3">
                  <c:v>Suecia</c:v>
                </c:pt>
                <c:pt idx="4">
                  <c:v>Suiza</c:v>
                </c:pt>
                <c:pt idx="5">
                  <c:v>Alemania</c:v>
                </c:pt>
                <c:pt idx="6">
                  <c:v>Irlanda</c:v>
                </c:pt>
                <c:pt idx="7">
                  <c:v>India</c:v>
                </c:pt>
                <c:pt idx="8">
                  <c:v>Austria</c:v>
                </c:pt>
                <c:pt idx="9">
                  <c:v>Canadá</c:v>
                </c:pt>
                <c:pt idx="10">
                  <c:v>Países Bajos</c:v>
                </c:pt>
                <c:pt idx="11">
                  <c:v>Reino Unido</c:v>
                </c:pt>
                <c:pt idx="12">
                  <c:v>Eslovenia</c:v>
                </c:pt>
                <c:pt idx="13">
                  <c:v>Indonesia</c:v>
                </c:pt>
                <c:pt idx="14">
                  <c:v>Luxemburgo</c:v>
                </c:pt>
                <c:pt idx="15">
                  <c:v>Italia</c:v>
                </c:pt>
                <c:pt idx="16">
                  <c:v>Vietnam</c:v>
                </c:pt>
                <c:pt idx="17">
                  <c:v>Francia</c:v>
                </c:pt>
                <c:pt idx="18">
                  <c:v>Bélgica</c:v>
                </c:pt>
                <c:pt idx="19">
                  <c:v>Kosovo</c:v>
                </c:pt>
                <c:pt idx="20">
                  <c:v>Pakistán</c:v>
                </c:pt>
                <c:pt idx="21">
                  <c:v>España</c:v>
                </c:pt>
                <c:pt idx="22">
                  <c:v>Filipinas</c:v>
                </c:pt>
                <c:pt idx="23">
                  <c:v>República Checa</c:v>
                </c:pt>
                <c:pt idx="24">
                  <c:v>Grecia</c:v>
                </c:pt>
                <c:pt idx="25">
                  <c:v>Rumania</c:v>
                </c:pt>
                <c:pt idx="26">
                  <c:v>Armenia</c:v>
                </c:pt>
                <c:pt idx="27">
                  <c:v>Bolivia</c:v>
                </c:pt>
                <c:pt idx="28">
                  <c:v>Eslovaquia</c:v>
                </c:pt>
                <c:pt idx="29">
                  <c:v>Kenia</c:v>
                </c:pt>
                <c:pt idx="30">
                  <c:v>Estados Unidos</c:v>
                </c:pt>
                <c:pt idx="31">
                  <c:v>República de Corea</c:v>
                </c:pt>
                <c:pt idx="32">
                  <c:v>México</c:v>
                </c:pt>
                <c:pt idx="33">
                  <c:v>Jordania</c:v>
                </c:pt>
                <c:pt idx="34">
                  <c:v>Territorios Palestinos</c:v>
                </c:pt>
                <c:pt idx="35">
                  <c:v>Siria</c:v>
                </c:pt>
                <c:pt idx="36">
                  <c:v>Serbia</c:v>
                </c:pt>
                <c:pt idx="37">
                  <c:v>Tailandia</c:v>
                </c:pt>
                <c:pt idx="38">
                  <c:v>Bulgaria</c:v>
                </c:pt>
                <c:pt idx="39">
                  <c:v>Ghana</c:v>
                </c:pt>
                <c:pt idx="40">
                  <c:v>Argentina</c:v>
                </c:pt>
                <c:pt idx="41">
                  <c:v>Kazajistán</c:v>
                </c:pt>
                <c:pt idx="42">
                  <c:v>Polonia</c:v>
                </c:pt>
                <c:pt idx="43">
                  <c:v>Senegal</c:v>
                </c:pt>
                <c:pt idx="44">
                  <c:v>Moldavia</c:v>
                </c:pt>
                <c:pt idx="45">
                  <c:v>Croacia</c:v>
                </c:pt>
                <c:pt idx="46">
                  <c:v>Rusia</c:v>
                </c:pt>
                <c:pt idx="47">
                  <c:v>Camerún</c:v>
                </c:pt>
                <c:pt idx="48">
                  <c:v>Afganistán</c:v>
                </c:pt>
                <c:pt idx="49">
                  <c:v>Irak</c:v>
                </c:pt>
                <c:pt idx="50">
                  <c:v>Hungría</c:v>
                </c:pt>
                <c:pt idx="51">
                  <c:v>Georgia</c:v>
                </c:pt>
                <c:pt idx="52">
                  <c:v>Japón</c:v>
                </c:pt>
                <c:pt idx="53">
                  <c:v>Macedonia del Norte</c:v>
                </c:pt>
                <c:pt idx="54">
                  <c:v>Sierra Leona</c:v>
                </c:pt>
                <c:pt idx="55">
                  <c:v>Costa de Marfil</c:v>
                </c:pt>
                <c:pt idx="56">
                  <c:v>Bosnia y Herzegovina</c:v>
                </c:pt>
                <c:pt idx="57">
                  <c:v>Ecuador</c:v>
                </c:pt>
                <c:pt idx="58">
                  <c:v>Libia</c:v>
                </c:pt>
                <c:pt idx="59">
                  <c:v>Nigeria</c:v>
                </c:pt>
                <c:pt idx="60">
                  <c:v>Perú</c:v>
                </c:pt>
              </c:strCache>
            </c:strRef>
          </c:cat>
          <c:val>
            <c:numRef>
              <c:f>Sheet1!$B$2:$B$62</c:f>
              <c:numCache>
                <c:formatCode>###0%</c:formatCode>
                <c:ptCount val="61"/>
                <c:pt idx="0">
                  <c:v>0.42</c:v>
                </c:pt>
                <c:pt idx="1">
                  <c:v>0.75</c:v>
                </c:pt>
                <c:pt idx="2">
                  <c:v>0.74</c:v>
                </c:pt>
                <c:pt idx="3">
                  <c:v>0.74</c:v>
                </c:pt>
                <c:pt idx="4">
                  <c:v>0.69</c:v>
                </c:pt>
                <c:pt idx="5">
                  <c:v>0.63</c:v>
                </c:pt>
                <c:pt idx="6">
                  <c:v>0.63</c:v>
                </c:pt>
                <c:pt idx="7">
                  <c:v>0.61</c:v>
                </c:pt>
                <c:pt idx="8">
                  <c:v>0.59</c:v>
                </c:pt>
                <c:pt idx="9">
                  <c:v>0.59</c:v>
                </c:pt>
                <c:pt idx="10">
                  <c:v>0.57999999999999996</c:v>
                </c:pt>
                <c:pt idx="11">
                  <c:v>0.57999999999999996</c:v>
                </c:pt>
                <c:pt idx="12">
                  <c:v>0.56000000000000005</c:v>
                </c:pt>
                <c:pt idx="13">
                  <c:v>0.56000000000000005</c:v>
                </c:pt>
                <c:pt idx="14">
                  <c:v>0.56000000000000005</c:v>
                </c:pt>
                <c:pt idx="15">
                  <c:v>0.54</c:v>
                </c:pt>
                <c:pt idx="16">
                  <c:v>0.54</c:v>
                </c:pt>
                <c:pt idx="17">
                  <c:v>0.53</c:v>
                </c:pt>
                <c:pt idx="18">
                  <c:v>0.52</c:v>
                </c:pt>
                <c:pt idx="19">
                  <c:v>0.52</c:v>
                </c:pt>
                <c:pt idx="20">
                  <c:v>0.5</c:v>
                </c:pt>
                <c:pt idx="21">
                  <c:v>0.49</c:v>
                </c:pt>
                <c:pt idx="22">
                  <c:v>0.48</c:v>
                </c:pt>
                <c:pt idx="23">
                  <c:v>0.48</c:v>
                </c:pt>
                <c:pt idx="24">
                  <c:v>0.48</c:v>
                </c:pt>
                <c:pt idx="25">
                  <c:v>0.47</c:v>
                </c:pt>
                <c:pt idx="26">
                  <c:v>0.43</c:v>
                </c:pt>
                <c:pt idx="27">
                  <c:v>0.42</c:v>
                </c:pt>
                <c:pt idx="28">
                  <c:v>0.41</c:v>
                </c:pt>
                <c:pt idx="29">
                  <c:v>0.4</c:v>
                </c:pt>
                <c:pt idx="30">
                  <c:v>0.4</c:v>
                </c:pt>
                <c:pt idx="31">
                  <c:v>0.39</c:v>
                </c:pt>
                <c:pt idx="32">
                  <c:v>0.39</c:v>
                </c:pt>
                <c:pt idx="33">
                  <c:v>0.38</c:v>
                </c:pt>
                <c:pt idx="34">
                  <c:v>0.38</c:v>
                </c:pt>
                <c:pt idx="35">
                  <c:v>0.38</c:v>
                </c:pt>
                <c:pt idx="36">
                  <c:v>0.37</c:v>
                </c:pt>
                <c:pt idx="37">
                  <c:v>0.37</c:v>
                </c:pt>
                <c:pt idx="38">
                  <c:v>0.37</c:v>
                </c:pt>
                <c:pt idx="39">
                  <c:v>0.35</c:v>
                </c:pt>
                <c:pt idx="40">
                  <c:v>0.34</c:v>
                </c:pt>
                <c:pt idx="41">
                  <c:v>0.34</c:v>
                </c:pt>
                <c:pt idx="42">
                  <c:v>0.34</c:v>
                </c:pt>
                <c:pt idx="43">
                  <c:v>0.34</c:v>
                </c:pt>
                <c:pt idx="44">
                  <c:v>0.33</c:v>
                </c:pt>
                <c:pt idx="45">
                  <c:v>0.31</c:v>
                </c:pt>
                <c:pt idx="46">
                  <c:v>0.31</c:v>
                </c:pt>
                <c:pt idx="47">
                  <c:v>0.3</c:v>
                </c:pt>
                <c:pt idx="48">
                  <c:v>0.28999999999999998</c:v>
                </c:pt>
                <c:pt idx="49">
                  <c:v>0.28999999999999998</c:v>
                </c:pt>
                <c:pt idx="50">
                  <c:v>0.28000000000000003</c:v>
                </c:pt>
                <c:pt idx="51">
                  <c:v>0.27</c:v>
                </c:pt>
                <c:pt idx="52">
                  <c:v>0.25</c:v>
                </c:pt>
                <c:pt idx="53">
                  <c:v>0.25</c:v>
                </c:pt>
                <c:pt idx="54">
                  <c:v>0.25</c:v>
                </c:pt>
                <c:pt idx="55">
                  <c:v>0.23</c:v>
                </c:pt>
                <c:pt idx="56">
                  <c:v>0.18</c:v>
                </c:pt>
                <c:pt idx="57">
                  <c:v>0.16</c:v>
                </c:pt>
                <c:pt idx="58">
                  <c:v>0.14000000000000001</c:v>
                </c:pt>
                <c:pt idx="59">
                  <c:v>0.13</c:v>
                </c:pt>
                <c:pt idx="60">
                  <c:v>0.13</c:v>
                </c:pt>
              </c:numCache>
            </c:numRef>
          </c:val>
          <c:extLst>
            <c:ext xmlns:c16="http://schemas.microsoft.com/office/drawing/2014/chart" uri="{C3380CC4-5D6E-409C-BE32-E72D297353CC}">
              <c16:uniqueId val="{0000002F-90F0-4E1A-8A70-EF399C3E9269}"/>
            </c:ext>
          </c:extLst>
        </c:ser>
        <c:ser>
          <c:idx val="1"/>
          <c:order val="1"/>
          <c:tx>
            <c:strRef>
              <c:f>Sheet1!$C$1</c:f>
              <c:strCache>
                <c:ptCount val="1"/>
                <c:pt idx="0">
                  <c:v>Insuficientes</c:v>
                </c:pt>
              </c:strCache>
            </c:strRef>
          </c:tx>
          <c:spPr>
            <a:solidFill>
              <a:srgbClr val="C00000"/>
            </a:solidFill>
            <a:ln>
              <a:solidFill>
                <a:srgbClr val="C00000"/>
              </a:solidFill>
            </a:ln>
            <a:effectLst/>
          </c:spPr>
          <c:invertIfNegative val="0"/>
          <c:dLbls>
            <c:dLbl>
              <c:idx val="0"/>
              <c:layout>
                <c:manualLayout>
                  <c:x val="2.3863209319804585E-2"/>
                  <c:y val="3.530304519254452E-18"/>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0-90F0-4E1A-8A70-EF399C3E9269}"/>
                </c:ext>
              </c:extLst>
            </c:dLbl>
            <c:dLbl>
              <c:idx val="1"/>
              <c:layout>
                <c:manualLayout>
                  <c:x val="1.7897406989853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1-90F0-4E1A-8A70-EF399C3E9269}"/>
                </c:ext>
              </c:extLst>
            </c:dLbl>
            <c:dLbl>
              <c:idx val="2"/>
              <c:layout>
                <c:manualLayout>
                  <c:x val="-2.585181009645496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2-90F0-4E1A-8A70-EF399C3E9269}"/>
                </c:ext>
              </c:extLst>
            </c:dLbl>
            <c:dLbl>
              <c:idx val="3"/>
              <c:layout>
                <c:manualLayout>
                  <c:x val="1.590880621320305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3-90F0-4E1A-8A70-EF399C3E9269}"/>
                </c:ext>
              </c:extLst>
            </c:dLbl>
            <c:dLbl>
              <c:idx val="4"/>
              <c:layout>
                <c:manualLayout>
                  <c:x val="2.187460854315420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4-90F0-4E1A-8A70-EF399C3E9269}"/>
                </c:ext>
              </c:extLst>
            </c:dLbl>
            <c:dLbl>
              <c:idx val="5"/>
              <c:layout>
                <c:manualLayout>
                  <c:x val="-1.9886007766503965E-2"/>
                  <c:y val="2.4260067928190198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5-90F0-4E1A-8A70-EF399C3E9269}"/>
                </c:ext>
              </c:extLst>
            </c:dLbl>
            <c:dLbl>
              <c:idx val="6"/>
              <c:layout>
                <c:manualLayout>
                  <c:x val="1.193160465990214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6-90F0-4E1A-8A70-EF399C3E9269}"/>
                </c:ext>
              </c:extLst>
            </c:dLbl>
            <c:dLbl>
              <c:idx val="7"/>
              <c:layout>
                <c:manualLayout>
                  <c:x val="-1.1931604659902293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7-90F0-4E1A-8A70-EF399C3E9269}"/>
                </c:ext>
              </c:extLst>
            </c:dLbl>
            <c:dLbl>
              <c:idx val="11"/>
              <c:layout>
                <c:manualLayout>
                  <c:x val="-2.1874608543154202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8-90F0-4E1A-8A70-EF399C3E9269}"/>
                </c:ext>
              </c:extLst>
            </c:dLbl>
            <c:dLbl>
              <c:idx val="12"/>
              <c:layout>
                <c:manualLayout>
                  <c:x val="-5.1703620192909937E-2"/>
                  <c:y val="1.2130033966919342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9-90F0-4E1A-8A70-EF399C3E9269}"/>
                </c:ext>
              </c:extLst>
            </c:dLbl>
            <c:dLbl>
              <c:idx val="14"/>
              <c:layout>
                <c:manualLayout>
                  <c:x val="-2.585181009645496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A-90F0-4E1A-8A70-EF399C3E9269}"/>
                </c:ext>
              </c:extLst>
            </c:dLbl>
            <c:dLbl>
              <c:idx val="15"/>
              <c:layout>
                <c:manualLayout>
                  <c:x val="4.374921708630825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B-90F0-4E1A-8A70-EF399C3E9269}"/>
                </c:ext>
              </c:extLst>
            </c:dLbl>
            <c:dLbl>
              <c:idx val="16"/>
              <c:layout>
                <c:manualLayout>
                  <c:x val="1.789740698985329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C-90F0-4E1A-8A70-EF399C3E9269}"/>
                </c:ext>
              </c:extLst>
            </c:dLbl>
            <c:dLbl>
              <c:idx val="17"/>
              <c:layout>
                <c:manualLayout>
                  <c:x val="-3.1817612426406038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D-90F0-4E1A-8A70-EF399C3E9269}"/>
                </c:ext>
              </c:extLst>
            </c:dLbl>
            <c:dLbl>
              <c:idx val="18"/>
              <c:layout>
                <c:manualLayout>
                  <c:x val="2.9829011649755731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E-90F0-4E1A-8A70-EF399C3E9269}"/>
                </c:ext>
              </c:extLst>
            </c:dLbl>
            <c:dLbl>
              <c:idx val="20"/>
              <c:layout>
                <c:manualLayout>
                  <c:x val="-3.5794813979706949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3F-90F0-4E1A-8A70-EF399C3E9269}"/>
                </c:ext>
              </c:extLst>
            </c:dLbl>
            <c:dLbl>
              <c:idx val="21"/>
              <c:layout>
                <c:manualLayout>
                  <c:x val="2.982901164975573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0-90F0-4E1A-8A70-EF399C3E9269}"/>
                </c:ext>
              </c:extLst>
            </c:dLbl>
            <c:dLbl>
              <c:idx val="22"/>
              <c:layout>
                <c:manualLayout>
                  <c:x val="-3.5794813979706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1-90F0-4E1A-8A70-EF399C3E9269}"/>
                </c:ext>
              </c:extLst>
            </c:dLbl>
            <c:dLbl>
              <c:idx val="26"/>
              <c:layout>
                <c:manualLayout>
                  <c:x val="2.5851810096454968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2-90F0-4E1A-8A70-EF399C3E9269}"/>
                </c:ext>
              </c:extLst>
            </c:dLbl>
            <c:dLbl>
              <c:idx val="27"/>
              <c:layout>
                <c:manualLayout>
                  <c:x val="-2.187460854315413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3-90F0-4E1A-8A70-EF399C3E9269}"/>
                </c:ext>
              </c:extLst>
            </c:dLbl>
            <c:dLbl>
              <c:idx val="28"/>
              <c:layout>
                <c:manualLayout>
                  <c:x val="-9.9430038832519097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4-90F0-4E1A-8A70-EF399C3E9269}"/>
                </c:ext>
              </c:extLst>
            </c:dLbl>
            <c:dLbl>
              <c:idx val="29"/>
              <c:layout>
                <c:manualLayout>
                  <c:x val="2.7840410873105348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5-90F0-4E1A-8A70-EF399C3E9269}"/>
                </c:ext>
              </c:extLst>
            </c:dLbl>
            <c:dLbl>
              <c:idx val="30"/>
              <c:layout>
                <c:manualLayout>
                  <c:x val="3.9772015533007639E-2"/>
                  <c:y val="-5.6484872308071232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6-90F0-4E1A-8A70-EF399C3E9269}"/>
                </c:ext>
              </c:extLst>
            </c:dLbl>
            <c:dLbl>
              <c:idx val="31"/>
              <c:layout>
                <c:manualLayout>
                  <c:x val="1.3920205436552674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7-90F0-4E1A-8A70-EF399C3E9269}"/>
                </c:ext>
              </c:extLst>
            </c:dLbl>
            <c:dLbl>
              <c:idx val="32"/>
              <c:layout>
                <c:manualLayout>
                  <c:x val="-5.9658023299511607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8-90F0-4E1A-8A70-EF399C3E9269}"/>
                </c:ext>
              </c:extLst>
            </c:dLbl>
            <c:dLbl>
              <c:idx val="35"/>
              <c:layout>
                <c:manualLayout>
                  <c:x val="-1.7897406989853367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9-90F0-4E1A-8A70-EF399C3E9269}"/>
                </c:ext>
              </c:extLst>
            </c:dLbl>
            <c:dLbl>
              <c:idx val="36"/>
              <c:layout>
                <c:manualLayout>
                  <c:x val="2.585181009645496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A-90F0-4E1A-8A70-EF399C3E9269}"/>
                </c:ext>
              </c:extLst>
            </c:dLbl>
            <c:dLbl>
              <c:idx val="37"/>
              <c:layout>
                <c:manualLayout>
                  <c:x val="2.585181009645496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B-90F0-4E1A-8A70-EF399C3E9269}"/>
                </c:ext>
              </c:extLst>
            </c:dLbl>
            <c:dLbl>
              <c:idx val="39"/>
              <c:layout>
                <c:manualLayout>
                  <c:x val="-3.5794813979706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C-90F0-4E1A-8A70-EF399C3E9269}"/>
                </c:ext>
              </c:extLst>
            </c:dLbl>
            <c:dLbl>
              <c:idx val="40"/>
              <c:layout>
                <c:manualLayout>
                  <c:x val="3.579481397970688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D-90F0-4E1A-8A70-EF399C3E9269}"/>
                </c:ext>
              </c:extLst>
            </c:dLbl>
            <c:dLbl>
              <c:idx val="42"/>
              <c:layout>
                <c:manualLayout>
                  <c:x val="-4.1760616309658022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E-90F0-4E1A-8A70-EF399C3E9269}"/>
                </c:ext>
              </c:extLst>
            </c:dLbl>
            <c:dLbl>
              <c:idx val="44"/>
              <c:layout>
                <c:manualLayout>
                  <c:x val="-4.7726418639609171E-2"/>
                  <c:y val="2.8242436154035616E-1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4F-90F0-4E1A-8A70-EF399C3E9269}"/>
                </c:ext>
              </c:extLst>
            </c:dLbl>
            <c:dLbl>
              <c:idx val="45"/>
              <c:layout>
                <c:manualLayout>
                  <c:x val="4.1760616309658022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0-90F0-4E1A-8A70-EF399C3E9269}"/>
                </c:ext>
              </c:extLst>
            </c:dLbl>
            <c:dLbl>
              <c:idx val="46"/>
              <c:layout>
                <c:manualLayout>
                  <c:x val="2.784041087310527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1-90F0-4E1A-8A70-EF399C3E9269}"/>
                </c:ext>
              </c:extLst>
            </c:dLbl>
            <c:dLbl>
              <c:idx val="48"/>
              <c:layout>
                <c:manualLayout>
                  <c:x val="-6.761242640611291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2-90F0-4E1A-8A70-EF399C3E9269}"/>
                </c:ext>
              </c:extLst>
            </c:dLbl>
            <c:dLbl>
              <c:idx val="49"/>
              <c:layout>
                <c:manualLayout>
                  <c:x val="5.9658023299510735E-3"/>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3-90F0-4E1A-8A70-EF399C3E9269}"/>
                </c:ext>
              </c:extLst>
            </c:dLbl>
            <c:dLbl>
              <c:idx val="50"/>
              <c:layout>
                <c:manualLayout>
                  <c:x val="2.386320931980444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4-90F0-4E1A-8A70-EF399C3E9269}"/>
                </c:ext>
              </c:extLst>
            </c:dLbl>
            <c:dLbl>
              <c:idx val="52"/>
              <c:layout>
                <c:manualLayout>
                  <c:x val="-4.3749217086308405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5-90F0-4E1A-8A70-EF399C3E9269}"/>
                </c:ext>
              </c:extLst>
            </c:dLbl>
            <c:dLbl>
              <c:idx val="54"/>
              <c:layout>
                <c:manualLayout>
                  <c:x val="-5.7669422522861079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6-90F0-4E1A-8A70-EF399C3E9269}"/>
                </c:ext>
              </c:extLst>
            </c:dLbl>
            <c:dLbl>
              <c:idx val="57"/>
              <c:layout>
                <c:manualLayout>
                  <c:x val="-7.9544031066015361E-2"/>
                  <c:y val="0"/>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7-90F0-4E1A-8A70-EF399C3E9269}"/>
                </c:ext>
              </c:extLst>
            </c:dLbl>
            <c:dLbl>
              <c:idx val="58"/>
              <c:layout>
                <c:manualLayout>
                  <c:x val="-8.1532631842665668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8-90F0-4E1A-8A70-EF399C3E9269}"/>
                </c:ext>
              </c:extLst>
            </c:dLbl>
            <c:dLbl>
              <c:idx val="59"/>
              <c:layout>
                <c:manualLayout>
                  <c:x val="-7.7555430289364902E-2"/>
                  <c:y val="1.1296974461614246E-16"/>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9-90F0-4E1A-8A70-EF399C3E9269}"/>
                </c:ext>
              </c:extLst>
            </c:dLbl>
            <c:dLbl>
              <c:idx val="60"/>
              <c:layout>
                <c:manualLayout>
                  <c:x val="-3.7783414756357256E-2"/>
                  <c:y val="1.2130033964095099E-7"/>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5A-90F0-4E1A-8A70-EF399C3E9269}"/>
                </c:ext>
              </c:extLst>
            </c:dLbl>
            <c:spPr>
              <a:solidFill>
                <a:schemeClr val="bg1"/>
              </a:solidFill>
              <a:ln>
                <a:solidFill>
                  <a:srgbClr val="C00000"/>
                </a:solid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s-AR"/>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Sheet1!$A$2:$A$62</c:f>
              <c:strCache>
                <c:ptCount val="61"/>
                <c:pt idx="0">
                  <c:v>PROMEDIO GLOBAL</c:v>
                </c:pt>
                <c:pt idx="1">
                  <c:v>Emiratos Árabes Unidos</c:v>
                </c:pt>
                <c:pt idx="2">
                  <c:v>Portugal</c:v>
                </c:pt>
                <c:pt idx="3">
                  <c:v>Suecia</c:v>
                </c:pt>
                <c:pt idx="4">
                  <c:v>Suiza</c:v>
                </c:pt>
                <c:pt idx="5">
                  <c:v>Alemania</c:v>
                </c:pt>
                <c:pt idx="6">
                  <c:v>Irlanda</c:v>
                </c:pt>
                <c:pt idx="7">
                  <c:v>India</c:v>
                </c:pt>
                <c:pt idx="8">
                  <c:v>Austria</c:v>
                </c:pt>
                <c:pt idx="9">
                  <c:v>Canadá</c:v>
                </c:pt>
                <c:pt idx="10">
                  <c:v>Países Bajos</c:v>
                </c:pt>
                <c:pt idx="11">
                  <c:v>Reino Unido</c:v>
                </c:pt>
                <c:pt idx="12">
                  <c:v>Eslovenia</c:v>
                </c:pt>
                <c:pt idx="13">
                  <c:v>Indonesia</c:v>
                </c:pt>
                <c:pt idx="14">
                  <c:v>Luxemburgo</c:v>
                </c:pt>
                <c:pt idx="15">
                  <c:v>Italia</c:v>
                </c:pt>
                <c:pt idx="16">
                  <c:v>Vietnam</c:v>
                </c:pt>
                <c:pt idx="17">
                  <c:v>Francia</c:v>
                </c:pt>
                <c:pt idx="18">
                  <c:v>Bélgica</c:v>
                </c:pt>
                <c:pt idx="19">
                  <c:v>Kosovo</c:v>
                </c:pt>
                <c:pt idx="20">
                  <c:v>Pakistán</c:v>
                </c:pt>
                <c:pt idx="21">
                  <c:v>España</c:v>
                </c:pt>
                <c:pt idx="22">
                  <c:v>Filipinas</c:v>
                </c:pt>
                <c:pt idx="23">
                  <c:v>República Checa</c:v>
                </c:pt>
                <c:pt idx="24">
                  <c:v>Grecia</c:v>
                </c:pt>
                <c:pt idx="25">
                  <c:v>Rumania</c:v>
                </c:pt>
                <c:pt idx="26">
                  <c:v>Armenia</c:v>
                </c:pt>
                <c:pt idx="27">
                  <c:v>Bolivia</c:v>
                </c:pt>
                <c:pt idx="28">
                  <c:v>Eslovaquia</c:v>
                </c:pt>
                <c:pt idx="29">
                  <c:v>Kenia</c:v>
                </c:pt>
                <c:pt idx="30">
                  <c:v>Estados Unidos</c:v>
                </c:pt>
                <c:pt idx="31">
                  <c:v>República de Corea</c:v>
                </c:pt>
                <c:pt idx="32">
                  <c:v>México</c:v>
                </c:pt>
                <c:pt idx="33">
                  <c:v>Jordania</c:v>
                </c:pt>
                <c:pt idx="34">
                  <c:v>Territorios Palestinos</c:v>
                </c:pt>
                <c:pt idx="35">
                  <c:v>Siria</c:v>
                </c:pt>
                <c:pt idx="36">
                  <c:v>Serbia</c:v>
                </c:pt>
                <c:pt idx="37">
                  <c:v>Tailandia</c:v>
                </c:pt>
                <c:pt idx="38">
                  <c:v>Bulgaria</c:v>
                </c:pt>
                <c:pt idx="39">
                  <c:v>Ghana</c:v>
                </c:pt>
                <c:pt idx="40">
                  <c:v>Argentina</c:v>
                </c:pt>
                <c:pt idx="41">
                  <c:v>Kazajistán</c:v>
                </c:pt>
                <c:pt idx="42">
                  <c:v>Polonia</c:v>
                </c:pt>
                <c:pt idx="43">
                  <c:v>Senegal</c:v>
                </c:pt>
                <c:pt idx="44">
                  <c:v>Moldavia</c:v>
                </c:pt>
                <c:pt idx="45">
                  <c:v>Croacia</c:v>
                </c:pt>
                <c:pt idx="46">
                  <c:v>Rusia</c:v>
                </c:pt>
                <c:pt idx="47">
                  <c:v>Camerún</c:v>
                </c:pt>
                <c:pt idx="48">
                  <c:v>Afganistán</c:v>
                </c:pt>
                <c:pt idx="49">
                  <c:v>Irak</c:v>
                </c:pt>
                <c:pt idx="50">
                  <c:v>Hungría</c:v>
                </c:pt>
                <c:pt idx="51">
                  <c:v>Georgia</c:v>
                </c:pt>
                <c:pt idx="52">
                  <c:v>Japón</c:v>
                </c:pt>
                <c:pt idx="53">
                  <c:v>Macedonia del Norte</c:v>
                </c:pt>
                <c:pt idx="54">
                  <c:v>Sierra Leona</c:v>
                </c:pt>
                <c:pt idx="55">
                  <c:v>Costa de Marfil</c:v>
                </c:pt>
                <c:pt idx="56">
                  <c:v>Bosnia y Herzegovina</c:v>
                </c:pt>
                <c:pt idx="57">
                  <c:v>Ecuador</c:v>
                </c:pt>
                <c:pt idx="58">
                  <c:v>Libia</c:v>
                </c:pt>
                <c:pt idx="59">
                  <c:v>Nigeria</c:v>
                </c:pt>
                <c:pt idx="60">
                  <c:v>Perú</c:v>
                </c:pt>
              </c:strCache>
            </c:strRef>
          </c:cat>
          <c:val>
            <c:numRef>
              <c:f>Sheet1!$C$2:$C$62</c:f>
              <c:numCache>
                <c:formatCode>###0%</c:formatCode>
                <c:ptCount val="61"/>
                <c:pt idx="0">
                  <c:v>0.5</c:v>
                </c:pt>
                <c:pt idx="1">
                  <c:v>0.22</c:v>
                </c:pt>
                <c:pt idx="2">
                  <c:v>0.23</c:v>
                </c:pt>
                <c:pt idx="3">
                  <c:v>0.17</c:v>
                </c:pt>
                <c:pt idx="4">
                  <c:v>0.23</c:v>
                </c:pt>
                <c:pt idx="5">
                  <c:v>0.3</c:v>
                </c:pt>
                <c:pt idx="6">
                  <c:v>0.28000000000000003</c:v>
                </c:pt>
                <c:pt idx="7">
                  <c:v>0.32</c:v>
                </c:pt>
                <c:pt idx="8">
                  <c:v>0.35</c:v>
                </c:pt>
                <c:pt idx="9">
                  <c:v>0.28999999999999998</c:v>
                </c:pt>
                <c:pt idx="10">
                  <c:v>0.3</c:v>
                </c:pt>
                <c:pt idx="11">
                  <c:v>0.31</c:v>
                </c:pt>
                <c:pt idx="12">
                  <c:v>0.38</c:v>
                </c:pt>
                <c:pt idx="13">
                  <c:v>0.39</c:v>
                </c:pt>
                <c:pt idx="14">
                  <c:v>0.33</c:v>
                </c:pt>
                <c:pt idx="15">
                  <c:v>0.34</c:v>
                </c:pt>
                <c:pt idx="16">
                  <c:v>0.38</c:v>
                </c:pt>
                <c:pt idx="17">
                  <c:v>0.38</c:v>
                </c:pt>
                <c:pt idx="18">
                  <c:v>0.35</c:v>
                </c:pt>
                <c:pt idx="19">
                  <c:v>0.34</c:v>
                </c:pt>
                <c:pt idx="20">
                  <c:v>0.44</c:v>
                </c:pt>
                <c:pt idx="21">
                  <c:v>0.45</c:v>
                </c:pt>
                <c:pt idx="22">
                  <c:v>0.4</c:v>
                </c:pt>
                <c:pt idx="23">
                  <c:v>0.42</c:v>
                </c:pt>
                <c:pt idx="24">
                  <c:v>0.49</c:v>
                </c:pt>
                <c:pt idx="25">
                  <c:v>0.44</c:v>
                </c:pt>
                <c:pt idx="26">
                  <c:v>0.48</c:v>
                </c:pt>
                <c:pt idx="27">
                  <c:v>0.57999999999999996</c:v>
                </c:pt>
                <c:pt idx="28">
                  <c:v>0.52</c:v>
                </c:pt>
                <c:pt idx="29">
                  <c:v>0.57999999999999996</c:v>
                </c:pt>
                <c:pt idx="30">
                  <c:v>0.48</c:v>
                </c:pt>
                <c:pt idx="31">
                  <c:v>0.55000000000000004</c:v>
                </c:pt>
                <c:pt idx="32">
                  <c:v>0.56000000000000005</c:v>
                </c:pt>
                <c:pt idx="33">
                  <c:v>0.48</c:v>
                </c:pt>
                <c:pt idx="34">
                  <c:v>0.54</c:v>
                </c:pt>
                <c:pt idx="35">
                  <c:v>0.59</c:v>
                </c:pt>
                <c:pt idx="36">
                  <c:v>0.51</c:v>
                </c:pt>
                <c:pt idx="37">
                  <c:v>0.56999999999999995</c:v>
                </c:pt>
                <c:pt idx="38">
                  <c:v>0.5</c:v>
                </c:pt>
                <c:pt idx="39">
                  <c:v>0.63</c:v>
                </c:pt>
                <c:pt idx="40">
                  <c:v>0.57999999999999996</c:v>
                </c:pt>
                <c:pt idx="41">
                  <c:v>0.62</c:v>
                </c:pt>
                <c:pt idx="42">
                  <c:v>0.57999999999999996</c:v>
                </c:pt>
                <c:pt idx="43">
                  <c:v>0.56999999999999995</c:v>
                </c:pt>
                <c:pt idx="44">
                  <c:v>0.55000000000000004</c:v>
                </c:pt>
                <c:pt idx="45">
                  <c:v>0.66</c:v>
                </c:pt>
                <c:pt idx="46">
                  <c:v>0.39</c:v>
                </c:pt>
                <c:pt idx="47">
                  <c:v>0.65</c:v>
                </c:pt>
                <c:pt idx="48">
                  <c:v>0.67</c:v>
                </c:pt>
                <c:pt idx="49">
                  <c:v>0.7</c:v>
                </c:pt>
                <c:pt idx="50">
                  <c:v>0.66</c:v>
                </c:pt>
                <c:pt idx="51">
                  <c:v>0.66</c:v>
                </c:pt>
                <c:pt idx="52">
                  <c:v>0.45</c:v>
                </c:pt>
                <c:pt idx="53">
                  <c:v>0.7</c:v>
                </c:pt>
                <c:pt idx="54">
                  <c:v>0.75</c:v>
                </c:pt>
                <c:pt idx="55">
                  <c:v>0.72</c:v>
                </c:pt>
                <c:pt idx="56">
                  <c:v>0.77</c:v>
                </c:pt>
                <c:pt idx="57">
                  <c:v>0.78</c:v>
                </c:pt>
                <c:pt idx="58">
                  <c:v>0.83</c:v>
                </c:pt>
                <c:pt idx="59">
                  <c:v>0.86</c:v>
                </c:pt>
                <c:pt idx="60">
                  <c:v>0.82</c:v>
                </c:pt>
              </c:numCache>
            </c:numRef>
          </c:val>
          <c:extLst>
            <c:ext xmlns:c16="http://schemas.microsoft.com/office/drawing/2014/chart" uri="{C3380CC4-5D6E-409C-BE32-E72D297353CC}">
              <c16:uniqueId val="{0000005B-90F0-4E1A-8A70-EF399C3E9269}"/>
            </c:ext>
          </c:extLst>
        </c:ser>
        <c:ser>
          <c:idx val="2"/>
          <c:order val="2"/>
          <c:tx>
            <c:strRef>
              <c:f>Sheet1!$D$1</c:f>
              <c:strCache>
                <c:ptCount val="1"/>
                <c:pt idx="0">
                  <c:v>No sabe</c:v>
                </c:pt>
              </c:strCache>
            </c:strRef>
          </c:tx>
          <c:spPr>
            <a:solidFill>
              <a:schemeClr val="bg1">
                <a:lumMod val="75000"/>
              </a:schemeClr>
            </a:solidFill>
            <a:ln>
              <a:solidFill>
                <a:schemeClr val="bg1">
                  <a:lumMod val="75000"/>
                </a:schemeClr>
              </a:solidFill>
            </a:ln>
            <a:effectLst/>
          </c:spPr>
          <c:invertIfNegative val="0"/>
          <c:dLbls>
            <c:delete val="1"/>
          </c:dLbls>
          <c:cat>
            <c:strRef>
              <c:f>Sheet1!$A$2:$A$62</c:f>
              <c:strCache>
                <c:ptCount val="61"/>
                <c:pt idx="0">
                  <c:v>PROMEDIO GLOBAL</c:v>
                </c:pt>
                <c:pt idx="1">
                  <c:v>Emiratos Árabes Unidos</c:v>
                </c:pt>
                <c:pt idx="2">
                  <c:v>Portugal</c:v>
                </c:pt>
                <c:pt idx="3">
                  <c:v>Suecia</c:v>
                </c:pt>
                <c:pt idx="4">
                  <c:v>Suiza</c:v>
                </c:pt>
                <c:pt idx="5">
                  <c:v>Alemania</c:v>
                </c:pt>
                <c:pt idx="6">
                  <c:v>Irlanda</c:v>
                </c:pt>
                <c:pt idx="7">
                  <c:v>India</c:v>
                </c:pt>
                <c:pt idx="8">
                  <c:v>Austria</c:v>
                </c:pt>
                <c:pt idx="9">
                  <c:v>Canadá</c:v>
                </c:pt>
                <c:pt idx="10">
                  <c:v>Países Bajos</c:v>
                </c:pt>
                <c:pt idx="11">
                  <c:v>Reino Unido</c:v>
                </c:pt>
                <c:pt idx="12">
                  <c:v>Eslovenia</c:v>
                </c:pt>
                <c:pt idx="13">
                  <c:v>Indonesia</c:v>
                </c:pt>
                <c:pt idx="14">
                  <c:v>Luxemburgo</c:v>
                </c:pt>
                <c:pt idx="15">
                  <c:v>Italia</c:v>
                </c:pt>
                <c:pt idx="16">
                  <c:v>Vietnam</c:v>
                </c:pt>
                <c:pt idx="17">
                  <c:v>Francia</c:v>
                </c:pt>
                <c:pt idx="18">
                  <c:v>Bélgica</c:v>
                </c:pt>
                <c:pt idx="19">
                  <c:v>Kosovo</c:v>
                </c:pt>
                <c:pt idx="20">
                  <c:v>Pakistán</c:v>
                </c:pt>
                <c:pt idx="21">
                  <c:v>España</c:v>
                </c:pt>
                <c:pt idx="22">
                  <c:v>Filipinas</c:v>
                </c:pt>
                <c:pt idx="23">
                  <c:v>República Checa</c:v>
                </c:pt>
                <c:pt idx="24">
                  <c:v>Grecia</c:v>
                </c:pt>
                <c:pt idx="25">
                  <c:v>Rumania</c:v>
                </c:pt>
                <c:pt idx="26">
                  <c:v>Armenia</c:v>
                </c:pt>
                <c:pt idx="27">
                  <c:v>Bolivia</c:v>
                </c:pt>
                <c:pt idx="28">
                  <c:v>Eslovaquia</c:v>
                </c:pt>
                <c:pt idx="29">
                  <c:v>Kenia</c:v>
                </c:pt>
                <c:pt idx="30">
                  <c:v>Estados Unidos</c:v>
                </c:pt>
                <c:pt idx="31">
                  <c:v>República de Corea</c:v>
                </c:pt>
                <c:pt idx="32">
                  <c:v>México</c:v>
                </c:pt>
                <c:pt idx="33">
                  <c:v>Jordania</c:v>
                </c:pt>
                <c:pt idx="34">
                  <c:v>Territorios Palestinos</c:v>
                </c:pt>
                <c:pt idx="35">
                  <c:v>Siria</c:v>
                </c:pt>
                <c:pt idx="36">
                  <c:v>Serbia</c:v>
                </c:pt>
                <c:pt idx="37">
                  <c:v>Tailandia</c:v>
                </c:pt>
                <c:pt idx="38">
                  <c:v>Bulgaria</c:v>
                </c:pt>
                <c:pt idx="39">
                  <c:v>Ghana</c:v>
                </c:pt>
                <c:pt idx="40">
                  <c:v>Argentina</c:v>
                </c:pt>
                <c:pt idx="41">
                  <c:v>Kazajistán</c:v>
                </c:pt>
                <c:pt idx="42">
                  <c:v>Polonia</c:v>
                </c:pt>
                <c:pt idx="43">
                  <c:v>Senegal</c:v>
                </c:pt>
                <c:pt idx="44">
                  <c:v>Moldavia</c:v>
                </c:pt>
                <c:pt idx="45">
                  <c:v>Croacia</c:v>
                </c:pt>
                <c:pt idx="46">
                  <c:v>Rusia</c:v>
                </c:pt>
                <c:pt idx="47">
                  <c:v>Camerún</c:v>
                </c:pt>
                <c:pt idx="48">
                  <c:v>Afganistán</c:v>
                </c:pt>
                <c:pt idx="49">
                  <c:v>Irak</c:v>
                </c:pt>
                <c:pt idx="50">
                  <c:v>Hungría</c:v>
                </c:pt>
                <c:pt idx="51">
                  <c:v>Georgia</c:v>
                </c:pt>
                <c:pt idx="52">
                  <c:v>Japón</c:v>
                </c:pt>
                <c:pt idx="53">
                  <c:v>Macedonia del Norte</c:v>
                </c:pt>
                <c:pt idx="54">
                  <c:v>Sierra Leona</c:v>
                </c:pt>
                <c:pt idx="55">
                  <c:v>Costa de Marfil</c:v>
                </c:pt>
                <c:pt idx="56">
                  <c:v>Bosnia y Herzegovina</c:v>
                </c:pt>
                <c:pt idx="57">
                  <c:v>Ecuador</c:v>
                </c:pt>
                <c:pt idx="58">
                  <c:v>Libia</c:v>
                </c:pt>
                <c:pt idx="59">
                  <c:v>Nigeria</c:v>
                </c:pt>
                <c:pt idx="60">
                  <c:v>Perú</c:v>
                </c:pt>
              </c:strCache>
            </c:strRef>
          </c:cat>
          <c:val>
            <c:numRef>
              <c:f>Sheet1!$D$2:$D$62</c:f>
              <c:numCache>
                <c:formatCode>###0%</c:formatCode>
                <c:ptCount val="61"/>
                <c:pt idx="0">
                  <c:v>0.08</c:v>
                </c:pt>
                <c:pt idx="1">
                  <c:v>0.02</c:v>
                </c:pt>
                <c:pt idx="2">
                  <c:v>0.03</c:v>
                </c:pt>
                <c:pt idx="3">
                  <c:v>0.09</c:v>
                </c:pt>
                <c:pt idx="4">
                  <c:v>0.08</c:v>
                </c:pt>
                <c:pt idx="5">
                  <c:v>7.0000000000000007E-2</c:v>
                </c:pt>
                <c:pt idx="6">
                  <c:v>0.09</c:v>
                </c:pt>
                <c:pt idx="7">
                  <c:v>7.0000000000000007E-2</c:v>
                </c:pt>
                <c:pt idx="8">
                  <c:v>0.06</c:v>
                </c:pt>
                <c:pt idx="9">
                  <c:v>0.11</c:v>
                </c:pt>
                <c:pt idx="10">
                  <c:v>0.12</c:v>
                </c:pt>
                <c:pt idx="11">
                  <c:v>0.11</c:v>
                </c:pt>
                <c:pt idx="12">
                  <c:v>0.06</c:v>
                </c:pt>
                <c:pt idx="13">
                  <c:v>0.05</c:v>
                </c:pt>
                <c:pt idx="14">
                  <c:v>0.11</c:v>
                </c:pt>
                <c:pt idx="15">
                  <c:v>0.11</c:v>
                </c:pt>
                <c:pt idx="16">
                  <c:v>0.08</c:v>
                </c:pt>
                <c:pt idx="17">
                  <c:v>0.09</c:v>
                </c:pt>
                <c:pt idx="18">
                  <c:v>0.13</c:v>
                </c:pt>
                <c:pt idx="19">
                  <c:v>0.14000000000000001</c:v>
                </c:pt>
                <c:pt idx="20">
                  <c:v>0.06</c:v>
                </c:pt>
                <c:pt idx="21">
                  <c:v>0.06</c:v>
                </c:pt>
                <c:pt idx="22">
                  <c:v>0.12</c:v>
                </c:pt>
                <c:pt idx="23">
                  <c:v>0.1</c:v>
                </c:pt>
                <c:pt idx="24">
                  <c:v>0.03</c:v>
                </c:pt>
                <c:pt idx="25">
                  <c:v>0.09</c:v>
                </c:pt>
                <c:pt idx="26">
                  <c:v>0.09</c:v>
                </c:pt>
                <c:pt idx="27">
                  <c:v>0</c:v>
                </c:pt>
                <c:pt idx="28">
                  <c:v>7.0000000000000007E-2</c:v>
                </c:pt>
                <c:pt idx="29">
                  <c:v>0.02</c:v>
                </c:pt>
                <c:pt idx="30">
                  <c:v>0.12</c:v>
                </c:pt>
                <c:pt idx="31">
                  <c:v>0.05</c:v>
                </c:pt>
                <c:pt idx="32">
                  <c:v>0.06</c:v>
                </c:pt>
                <c:pt idx="33">
                  <c:v>0.13</c:v>
                </c:pt>
                <c:pt idx="34">
                  <c:v>0.08</c:v>
                </c:pt>
                <c:pt idx="35">
                  <c:v>0.04</c:v>
                </c:pt>
                <c:pt idx="36">
                  <c:v>0.12</c:v>
                </c:pt>
                <c:pt idx="37">
                  <c:v>0.05</c:v>
                </c:pt>
                <c:pt idx="38">
                  <c:v>0.13</c:v>
                </c:pt>
                <c:pt idx="39">
                  <c:v>0.02</c:v>
                </c:pt>
                <c:pt idx="40">
                  <c:v>0.08</c:v>
                </c:pt>
                <c:pt idx="41">
                  <c:v>0.05</c:v>
                </c:pt>
                <c:pt idx="42">
                  <c:v>0.08</c:v>
                </c:pt>
                <c:pt idx="43">
                  <c:v>0.08</c:v>
                </c:pt>
                <c:pt idx="44">
                  <c:v>0.12</c:v>
                </c:pt>
                <c:pt idx="45">
                  <c:v>0.03</c:v>
                </c:pt>
                <c:pt idx="46">
                  <c:v>0.3</c:v>
                </c:pt>
                <c:pt idx="47">
                  <c:v>0.05</c:v>
                </c:pt>
                <c:pt idx="48">
                  <c:v>0.04</c:v>
                </c:pt>
                <c:pt idx="49">
                  <c:v>0.01</c:v>
                </c:pt>
                <c:pt idx="50">
                  <c:v>0.06</c:v>
                </c:pt>
                <c:pt idx="51">
                  <c:v>7.0000000000000007E-2</c:v>
                </c:pt>
                <c:pt idx="52">
                  <c:v>0.3</c:v>
                </c:pt>
                <c:pt idx="53">
                  <c:v>0.05</c:v>
                </c:pt>
                <c:pt idx="54" formatCode="General">
                  <c:v>0</c:v>
                </c:pt>
                <c:pt idx="55">
                  <c:v>0.05</c:v>
                </c:pt>
                <c:pt idx="56">
                  <c:v>0.05</c:v>
                </c:pt>
                <c:pt idx="57">
                  <c:v>0.06</c:v>
                </c:pt>
                <c:pt idx="58">
                  <c:v>0.02</c:v>
                </c:pt>
                <c:pt idx="59">
                  <c:v>0.01</c:v>
                </c:pt>
                <c:pt idx="60">
                  <c:v>0.05</c:v>
                </c:pt>
              </c:numCache>
            </c:numRef>
          </c:val>
          <c:extLst>
            <c:ext xmlns:c16="http://schemas.microsoft.com/office/drawing/2014/chart" uri="{C3380CC4-5D6E-409C-BE32-E72D297353CC}">
              <c16:uniqueId val="{0000005C-90F0-4E1A-8A70-EF399C3E9269}"/>
            </c:ext>
          </c:extLst>
        </c:ser>
        <c:dLbls>
          <c:dLblPos val="ctr"/>
          <c:showLegendKey val="0"/>
          <c:showVal val="1"/>
          <c:showCatName val="0"/>
          <c:showSerName val="0"/>
          <c:showPercent val="0"/>
          <c:showBubbleSize val="0"/>
        </c:dLbls>
        <c:gapWidth val="150"/>
        <c:overlap val="100"/>
        <c:axId val="324540696"/>
        <c:axId val="324541480"/>
      </c:barChart>
      <c:catAx>
        <c:axId val="3245406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solidFill>
                <a:latin typeface="+mn-lt"/>
                <a:ea typeface="+mn-ea"/>
                <a:cs typeface="+mn-cs"/>
              </a:defRPr>
            </a:pPr>
            <a:endParaRPr lang="es-AR"/>
          </a:p>
        </c:txPr>
        <c:crossAx val="324541480"/>
        <c:crosses val="autoZero"/>
        <c:auto val="1"/>
        <c:lblAlgn val="ctr"/>
        <c:lblOffset val="100"/>
        <c:noMultiLvlLbl val="0"/>
      </c:catAx>
      <c:valAx>
        <c:axId val="324541480"/>
        <c:scaling>
          <c:orientation val="minMax"/>
        </c:scaling>
        <c:delete val="1"/>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crossAx val="32454069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noFill/>
    <a:ln w="9525" cap="flat" cmpd="sng" algn="ctr">
      <a:no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Sheet1!$B$1</c:f>
              <c:strCache>
                <c:ptCount val="1"/>
                <c:pt idx="0">
                  <c:v>Suficientes</c:v>
                </c:pt>
              </c:strCache>
            </c:strRef>
          </c:tx>
          <c:spPr>
            <a:solidFill>
              <a:srgbClr val="0070C0"/>
            </a:solidFill>
            <a:ln>
              <a:solidFill>
                <a:srgbClr val="0070C0"/>
              </a:solidFill>
            </a:ln>
            <a:effectLst/>
          </c:spPr>
          <c:invertIfNegative val="0"/>
          <c:dLbls>
            <c:spPr>
              <a:solidFill>
                <a:schemeClr val="bg1"/>
              </a:solidFill>
              <a:ln>
                <a:solidFill>
                  <a:srgbClr val="0070C0"/>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s-A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Sheet1!$A$2:$A$62</c:f>
              <c:strCache>
                <c:ptCount val="61"/>
                <c:pt idx="0">
                  <c:v>PROMEDIO GLOBAL</c:v>
                </c:pt>
                <c:pt idx="1">
                  <c:v>Suiza</c:v>
                </c:pt>
                <c:pt idx="2">
                  <c:v>Suecia</c:v>
                </c:pt>
                <c:pt idx="3">
                  <c:v>Indonesia</c:v>
                </c:pt>
                <c:pt idx="4">
                  <c:v>Emiratos Árabes Unidos</c:v>
                </c:pt>
                <c:pt idx="5">
                  <c:v>India</c:v>
                </c:pt>
                <c:pt idx="6">
                  <c:v>Países Bajos</c:v>
                </c:pt>
                <c:pt idx="7">
                  <c:v>Bolivia</c:v>
                </c:pt>
                <c:pt idx="8">
                  <c:v>Canadá</c:v>
                </c:pt>
                <c:pt idx="9">
                  <c:v>Austria</c:v>
                </c:pt>
                <c:pt idx="10">
                  <c:v>Alemania</c:v>
                </c:pt>
                <c:pt idx="11">
                  <c:v>Irlanda</c:v>
                </c:pt>
                <c:pt idx="12">
                  <c:v>Luxemburgo</c:v>
                </c:pt>
                <c:pt idx="13">
                  <c:v>Reino Unido</c:v>
                </c:pt>
                <c:pt idx="14">
                  <c:v>Eslovenia</c:v>
                </c:pt>
                <c:pt idx="15">
                  <c:v>Estados Unidos</c:v>
                </c:pt>
                <c:pt idx="16">
                  <c:v>Vietnam</c:v>
                </c:pt>
                <c:pt idx="17">
                  <c:v>Kosovo</c:v>
                </c:pt>
                <c:pt idx="18">
                  <c:v>Francia</c:v>
                </c:pt>
                <c:pt idx="19">
                  <c:v>República Checa</c:v>
                </c:pt>
                <c:pt idx="20">
                  <c:v>Bélgica</c:v>
                </c:pt>
                <c:pt idx="21">
                  <c:v>Tailandia</c:v>
                </c:pt>
                <c:pt idx="22">
                  <c:v>Filipinas</c:v>
                </c:pt>
                <c:pt idx="23">
                  <c:v>Armenia</c:v>
                </c:pt>
                <c:pt idx="24">
                  <c:v>Pakistán</c:v>
                </c:pt>
                <c:pt idx="25">
                  <c:v>Rusia</c:v>
                </c:pt>
                <c:pt idx="26">
                  <c:v>Territorios Palestinos</c:v>
                </c:pt>
                <c:pt idx="27">
                  <c:v>Italia</c:v>
                </c:pt>
                <c:pt idx="28">
                  <c:v>Kazajistán</c:v>
                </c:pt>
                <c:pt idx="29">
                  <c:v>México</c:v>
                </c:pt>
                <c:pt idx="30">
                  <c:v>Eslovaquia</c:v>
                </c:pt>
                <c:pt idx="31">
                  <c:v>Costa de Marfil</c:v>
                </c:pt>
                <c:pt idx="32">
                  <c:v>República de Corea</c:v>
                </c:pt>
                <c:pt idx="33">
                  <c:v>Camerún</c:v>
                </c:pt>
                <c:pt idx="34">
                  <c:v>Rumania</c:v>
                </c:pt>
                <c:pt idx="35">
                  <c:v>Polonia</c:v>
                </c:pt>
                <c:pt idx="36">
                  <c:v>Serbia</c:v>
                </c:pt>
                <c:pt idx="37">
                  <c:v>Hungría</c:v>
                </c:pt>
                <c:pt idx="38">
                  <c:v>Moldavia</c:v>
                </c:pt>
                <c:pt idx="39">
                  <c:v>Irak</c:v>
                </c:pt>
                <c:pt idx="40">
                  <c:v>Siria</c:v>
                </c:pt>
                <c:pt idx="41">
                  <c:v>Afganistán</c:v>
                </c:pt>
                <c:pt idx="42">
                  <c:v>Senegal</c:v>
                </c:pt>
                <c:pt idx="43">
                  <c:v>Portugal</c:v>
                </c:pt>
                <c:pt idx="44">
                  <c:v>España</c:v>
                </c:pt>
                <c:pt idx="45">
                  <c:v>Sierra Leona</c:v>
                </c:pt>
                <c:pt idx="46">
                  <c:v>Jordania</c:v>
                </c:pt>
                <c:pt idx="47">
                  <c:v>Japón</c:v>
                </c:pt>
                <c:pt idx="48">
                  <c:v>Bulgaria</c:v>
                </c:pt>
                <c:pt idx="49">
                  <c:v>Kenia</c:v>
                </c:pt>
                <c:pt idx="50">
                  <c:v>Grecia</c:v>
                </c:pt>
                <c:pt idx="51">
                  <c:v>Ghana</c:v>
                </c:pt>
                <c:pt idx="52">
                  <c:v>Ecuador</c:v>
                </c:pt>
                <c:pt idx="53">
                  <c:v>Croacia</c:v>
                </c:pt>
                <c:pt idx="54">
                  <c:v>Libia</c:v>
                </c:pt>
                <c:pt idx="55">
                  <c:v>Georgia</c:v>
                </c:pt>
                <c:pt idx="56">
                  <c:v>Nigeria</c:v>
                </c:pt>
                <c:pt idx="57">
                  <c:v>Macedonia del Norte</c:v>
                </c:pt>
                <c:pt idx="58">
                  <c:v>Perú</c:v>
                </c:pt>
                <c:pt idx="59">
                  <c:v>Argentina</c:v>
                </c:pt>
                <c:pt idx="60">
                  <c:v>Bosnia y Herzegovina</c:v>
                </c:pt>
              </c:strCache>
            </c:strRef>
          </c:cat>
          <c:val>
            <c:numRef>
              <c:f>Sheet1!$B$2:$B$62</c:f>
              <c:numCache>
                <c:formatCode>0%</c:formatCode>
                <c:ptCount val="61"/>
                <c:pt idx="0">
                  <c:v>0.28999999999999998</c:v>
                </c:pt>
                <c:pt idx="1">
                  <c:v>0.63</c:v>
                </c:pt>
                <c:pt idx="2">
                  <c:v>0.61</c:v>
                </c:pt>
                <c:pt idx="3">
                  <c:v>0.56000000000000005</c:v>
                </c:pt>
                <c:pt idx="4">
                  <c:v>0.54</c:v>
                </c:pt>
                <c:pt idx="5">
                  <c:v>0.53</c:v>
                </c:pt>
                <c:pt idx="6">
                  <c:v>0.52</c:v>
                </c:pt>
                <c:pt idx="7">
                  <c:v>0.51</c:v>
                </c:pt>
                <c:pt idx="8">
                  <c:v>0.51</c:v>
                </c:pt>
                <c:pt idx="9">
                  <c:v>0.5</c:v>
                </c:pt>
                <c:pt idx="10">
                  <c:v>0.5</c:v>
                </c:pt>
                <c:pt idx="11">
                  <c:v>0.48</c:v>
                </c:pt>
                <c:pt idx="12">
                  <c:v>0.46</c:v>
                </c:pt>
                <c:pt idx="13">
                  <c:v>0.45</c:v>
                </c:pt>
                <c:pt idx="14">
                  <c:v>0.43</c:v>
                </c:pt>
                <c:pt idx="15">
                  <c:v>0.42</c:v>
                </c:pt>
                <c:pt idx="16">
                  <c:v>0.4</c:v>
                </c:pt>
                <c:pt idx="17">
                  <c:v>0.4</c:v>
                </c:pt>
                <c:pt idx="18">
                  <c:v>0.4</c:v>
                </c:pt>
                <c:pt idx="19">
                  <c:v>0.39</c:v>
                </c:pt>
                <c:pt idx="20">
                  <c:v>0.37</c:v>
                </c:pt>
                <c:pt idx="21">
                  <c:v>0.37</c:v>
                </c:pt>
                <c:pt idx="22">
                  <c:v>0.35</c:v>
                </c:pt>
                <c:pt idx="23">
                  <c:v>0.32</c:v>
                </c:pt>
                <c:pt idx="24">
                  <c:v>0.32</c:v>
                </c:pt>
                <c:pt idx="25">
                  <c:v>0.28999999999999998</c:v>
                </c:pt>
                <c:pt idx="26">
                  <c:v>0.28999999999999998</c:v>
                </c:pt>
                <c:pt idx="27">
                  <c:v>0.28000000000000003</c:v>
                </c:pt>
                <c:pt idx="28">
                  <c:v>0.26</c:v>
                </c:pt>
                <c:pt idx="29">
                  <c:v>0.26</c:v>
                </c:pt>
                <c:pt idx="30">
                  <c:v>0.26</c:v>
                </c:pt>
                <c:pt idx="31">
                  <c:v>0.25</c:v>
                </c:pt>
                <c:pt idx="32">
                  <c:v>0.25</c:v>
                </c:pt>
                <c:pt idx="33">
                  <c:v>0.25</c:v>
                </c:pt>
                <c:pt idx="34">
                  <c:v>0.24</c:v>
                </c:pt>
                <c:pt idx="35">
                  <c:v>0.23</c:v>
                </c:pt>
                <c:pt idx="36">
                  <c:v>0.23</c:v>
                </c:pt>
                <c:pt idx="37">
                  <c:v>0.22</c:v>
                </c:pt>
                <c:pt idx="38">
                  <c:v>0.21</c:v>
                </c:pt>
                <c:pt idx="39">
                  <c:v>0.21</c:v>
                </c:pt>
                <c:pt idx="40">
                  <c:v>0.21</c:v>
                </c:pt>
                <c:pt idx="41">
                  <c:v>0.2</c:v>
                </c:pt>
                <c:pt idx="42">
                  <c:v>0.2</c:v>
                </c:pt>
                <c:pt idx="43">
                  <c:v>0.19</c:v>
                </c:pt>
                <c:pt idx="44">
                  <c:v>0.19</c:v>
                </c:pt>
                <c:pt idx="45">
                  <c:v>0.18</c:v>
                </c:pt>
                <c:pt idx="46">
                  <c:v>0.17</c:v>
                </c:pt>
                <c:pt idx="47">
                  <c:v>0.16</c:v>
                </c:pt>
                <c:pt idx="48">
                  <c:v>0.14000000000000001</c:v>
                </c:pt>
                <c:pt idx="49">
                  <c:v>0.14000000000000001</c:v>
                </c:pt>
                <c:pt idx="50">
                  <c:v>0.14000000000000001</c:v>
                </c:pt>
                <c:pt idx="51">
                  <c:v>0.13</c:v>
                </c:pt>
                <c:pt idx="52">
                  <c:v>0.12</c:v>
                </c:pt>
                <c:pt idx="53">
                  <c:v>0.11</c:v>
                </c:pt>
                <c:pt idx="54">
                  <c:v>0.1</c:v>
                </c:pt>
                <c:pt idx="55">
                  <c:v>0.09</c:v>
                </c:pt>
                <c:pt idx="56">
                  <c:v>0.09</c:v>
                </c:pt>
                <c:pt idx="57">
                  <c:v>0.08</c:v>
                </c:pt>
                <c:pt idx="58">
                  <c:v>7.0000000000000007E-2</c:v>
                </c:pt>
                <c:pt idx="59">
                  <c:v>0.06</c:v>
                </c:pt>
                <c:pt idx="60">
                  <c:v>0.06</c:v>
                </c:pt>
              </c:numCache>
            </c:numRef>
          </c:val>
          <c:extLst>
            <c:ext xmlns:c16="http://schemas.microsoft.com/office/drawing/2014/chart" uri="{C3380CC4-5D6E-409C-BE32-E72D297353CC}">
              <c16:uniqueId val="{0000002F-6CF5-425A-90C7-FAF7E7695DE8}"/>
            </c:ext>
          </c:extLst>
        </c:ser>
        <c:ser>
          <c:idx val="1"/>
          <c:order val="1"/>
          <c:tx>
            <c:strRef>
              <c:f>Sheet1!$C$1</c:f>
              <c:strCache>
                <c:ptCount val="1"/>
                <c:pt idx="0">
                  <c:v>Insuficientes</c:v>
                </c:pt>
              </c:strCache>
            </c:strRef>
          </c:tx>
          <c:spPr>
            <a:solidFill>
              <a:srgbClr val="C00000"/>
            </a:solidFill>
            <a:ln>
              <a:solidFill>
                <a:srgbClr val="C00000"/>
              </a:solidFill>
            </a:ln>
            <a:effectLst/>
          </c:spPr>
          <c:invertIfNegative val="0"/>
          <c:dLbls>
            <c:spPr>
              <a:solidFill>
                <a:schemeClr val="bg1"/>
              </a:solidFill>
              <a:ln>
                <a:solidFill>
                  <a:srgbClr val="C00000"/>
                </a:solidFill>
              </a:ln>
              <a:effectLst/>
            </c:spPr>
            <c:txPr>
              <a:bodyPr rot="0" spcFirstLastPara="1" vertOverflow="ellipsis" vert="horz" wrap="square" anchor="ctr" anchorCtr="1"/>
              <a:lstStyle/>
              <a:p>
                <a:pPr>
                  <a:defRPr sz="800" b="0" i="0" u="none" strike="noStrike" kern="1200" baseline="0">
                    <a:solidFill>
                      <a:schemeClr val="tx1">
                        <a:lumMod val="75000"/>
                        <a:lumOff val="25000"/>
                      </a:schemeClr>
                    </a:solidFill>
                    <a:latin typeface="+mn-lt"/>
                    <a:ea typeface="+mn-ea"/>
                    <a:cs typeface="+mn-cs"/>
                  </a:defRPr>
                </a:pPr>
                <a:endParaRPr lang="es-AR"/>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Sheet1!$A$2:$A$62</c:f>
              <c:strCache>
                <c:ptCount val="61"/>
                <c:pt idx="0">
                  <c:v>PROMEDIO GLOBAL</c:v>
                </c:pt>
                <c:pt idx="1">
                  <c:v>Suiza</c:v>
                </c:pt>
                <c:pt idx="2">
                  <c:v>Suecia</c:v>
                </c:pt>
                <c:pt idx="3">
                  <c:v>Indonesia</c:v>
                </c:pt>
                <c:pt idx="4">
                  <c:v>Emiratos Árabes Unidos</c:v>
                </c:pt>
                <c:pt idx="5">
                  <c:v>India</c:v>
                </c:pt>
                <c:pt idx="6">
                  <c:v>Países Bajos</c:v>
                </c:pt>
                <c:pt idx="7">
                  <c:v>Bolivia</c:v>
                </c:pt>
                <c:pt idx="8">
                  <c:v>Canadá</c:v>
                </c:pt>
                <c:pt idx="9">
                  <c:v>Austria</c:v>
                </c:pt>
                <c:pt idx="10">
                  <c:v>Alemania</c:v>
                </c:pt>
                <c:pt idx="11">
                  <c:v>Irlanda</c:v>
                </c:pt>
                <c:pt idx="12">
                  <c:v>Luxemburgo</c:v>
                </c:pt>
                <c:pt idx="13">
                  <c:v>Reino Unido</c:v>
                </c:pt>
                <c:pt idx="14">
                  <c:v>Eslovenia</c:v>
                </c:pt>
                <c:pt idx="15">
                  <c:v>Estados Unidos</c:v>
                </c:pt>
                <c:pt idx="16">
                  <c:v>Vietnam</c:v>
                </c:pt>
                <c:pt idx="17">
                  <c:v>Kosovo</c:v>
                </c:pt>
                <c:pt idx="18">
                  <c:v>Francia</c:v>
                </c:pt>
                <c:pt idx="19">
                  <c:v>República Checa</c:v>
                </c:pt>
                <c:pt idx="20">
                  <c:v>Bélgica</c:v>
                </c:pt>
                <c:pt idx="21">
                  <c:v>Tailandia</c:v>
                </c:pt>
                <c:pt idx="22">
                  <c:v>Filipinas</c:v>
                </c:pt>
                <c:pt idx="23">
                  <c:v>Armenia</c:v>
                </c:pt>
                <c:pt idx="24">
                  <c:v>Pakistán</c:v>
                </c:pt>
                <c:pt idx="25">
                  <c:v>Rusia</c:v>
                </c:pt>
                <c:pt idx="26">
                  <c:v>Territorios Palestinos</c:v>
                </c:pt>
                <c:pt idx="27">
                  <c:v>Italia</c:v>
                </c:pt>
                <c:pt idx="28">
                  <c:v>Kazajistán</c:v>
                </c:pt>
                <c:pt idx="29">
                  <c:v>México</c:v>
                </c:pt>
                <c:pt idx="30">
                  <c:v>Eslovaquia</c:v>
                </c:pt>
                <c:pt idx="31">
                  <c:v>Costa de Marfil</c:v>
                </c:pt>
                <c:pt idx="32">
                  <c:v>República de Corea</c:v>
                </c:pt>
                <c:pt idx="33">
                  <c:v>Camerún</c:v>
                </c:pt>
                <c:pt idx="34">
                  <c:v>Rumania</c:v>
                </c:pt>
                <c:pt idx="35">
                  <c:v>Polonia</c:v>
                </c:pt>
                <c:pt idx="36">
                  <c:v>Serbia</c:v>
                </c:pt>
                <c:pt idx="37">
                  <c:v>Hungría</c:v>
                </c:pt>
                <c:pt idx="38">
                  <c:v>Moldavia</c:v>
                </c:pt>
                <c:pt idx="39">
                  <c:v>Irak</c:v>
                </c:pt>
                <c:pt idx="40">
                  <c:v>Siria</c:v>
                </c:pt>
                <c:pt idx="41">
                  <c:v>Afganistán</c:v>
                </c:pt>
                <c:pt idx="42">
                  <c:v>Senegal</c:v>
                </c:pt>
                <c:pt idx="43">
                  <c:v>Portugal</c:v>
                </c:pt>
                <c:pt idx="44">
                  <c:v>España</c:v>
                </c:pt>
                <c:pt idx="45">
                  <c:v>Sierra Leona</c:v>
                </c:pt>
                <c:pt idx="46">
                  <c:v>Jordania</c:v>
                </c:pt>
                <c:pt idx="47">
                  <c:v>Japón</c:v>
                </c:pt>
                <c:pt idx="48">
                  <c:v>Bulgaria</c:v>
                </c:pt>
                <c:pt idx="49">
                  <c:v>Kenia</c:v>
                </c:pt>
                <c:pt idx="50">
                  <c:v>Grecia</c:v>
                </c:pt>
                <c:pt idx="51">
                  <c:v>Ghana</c:v>
                </c:pt>
                <c:pt idx="52">
                  <c:v>Ecuador</c:v>
                </c:pt>
                <c:pt idx="53">
                  <c:v>Croacia</c:v>
                </c:pt>
                <c:pt idx="54">
                  <c:v>Libia</c:v>
                </c:pt>
                <c:pt idx="55">
                  <c:v>Georgia</c:v>
                </c:pt>
                <c:pt idx="56">
                  <c:v>Nigeria</c:v>
                </c:pt>
                <c:pt idx="57">
                  <c:v>Macedonia del Norte</c:v>
                </c:pt>
                <c:pt idx="58">
                  <c:v>Perú</c:v>
                </c:pt>
                <c:pt idx="59">
                  <c:v>Argentina</c:v>
                </c:pt>
                <c:pt idx="60">
                  <c:v>Bosnia y Herzegovina</c:v>
                </c:pt>
              </c:strCache>
            </c:strRef>
          </c:cat>
          <c:val>
            <c:numRef>
              <c:f>Sheet1!$C$2:$C$62</c:f>
              <c:numCache>
                <c:formatCode>0%</c:formatCode>
                <c:ptCount val="61"/>
                <c:pt idx="0">
                  <c:v>0.64</c:v>
                </c:pt>
                <c:pt idx="1">
                  <c:v>0.28000000000000003</c:v>
                </c:pt>
                <c:pt idx="2">
                  <c:v>0.28999999999999998</c:v>
                </c:pt>
                <c:pt idx="3">
                  <c:v>0.39</c:v>
                </c:pt>
                <c:pt idx="4">
                  <c:v>0.43</c:v>
                </c:pt>
                <c:pt idx="5">
                  <c:v>0.3</c:v>
                </c:pt>
                <c:pt idx="6">
                  <c:v>0.37</c:v>
                </c:pt>
                <c:pt idx="7">
                  <c:v>0.49</c:v>
                </c:pt>
                <c:pt idx="8">
                  <c:v>0.4</c:v>
                </c:pt>
                <c:pt idx="9">
                  <c:v>0.42</c:v>
                </c:pt>
                <c:pt idx="10">
                  <c:v>0.42</c:v>
                </c:pt>
                <c:pt idx="11">
                  <c:v>0.44</c:v>
                </c:pt>
                <c:pt idx="12">
                  <c:v>0.42</c:v>
                </c:pt>
                <c:pt idx="13">
                  <c:v>0.44</c:v>
                </c:pt>
                <c:pt idx="14">
                  <c:v>0.51</c:v>
                </c:pt>
                <c:pt idx="15">
                  <c:v>0.48</c:v>
                </c:pt>
                <c:pt idx="16">
                  <c:v>0.56999999999999995</c:v>
                </c:pt>
                <c:pt idx="17">
                  <c:v>0.52</c:v>
                </c:pt>
                <c:pt idx="18">
                  <c:v>0.5</c:v>
                </c:pt>
                <c:pt idx="19">
                  <c:v>0.54</c:v>
                </c:pt>
                <c:pt idx="20">
                  <c:v>0.52</c:v>
                </c:pt>
                <c:pt idx="21">
                  <c:v>0.57999999999999996</c:v>
                </c:pt>
                <c:pt idx="22">
                  <c:v>0.57999999999999996</c:v>
                </c:pt>
                <c:pt idx="23">
                  <c:v>0.62</c:v>
                </c:pt>
                <c:pt idx="24">
                  <c:v>0.65</c:v>
                </c:pt>
                <c:pt idx="25">
                  <c:v>0.45</c:v>
                </c:pt>
                <c:pt idx="26">
                  <c:v>0.64</c:v>
                </c:pt>
                <c:pt idx="27">
                  <c:v>0.62</c:v>
                </c:pt>
                <c:pt idx="28">
                  <c:v>0.69</c:v>
                </c:pt>
                <c:pt idx="29">
                  <c:v>0.7</c:v>
                </c:pt>
                <c:pt idx="30">
                  <c:v>0.7</c:v>
                </c:pt>
                <c:pt idx="31">
                  <c:v>0.74</c:v>
                </c:pt>
                <c:pt idx="32">
                  <c:v>0.72</c:v>
                </c:pt>
                <c:pt idx="33">
                  <c:v>0.7</c:v>
                </c:pt>
                <c:pt idx="34">
                  <c:v>0.69</c:v>
                </c:pt>
                <c:pt idx="35">
                  <c:v>0.7</c:v>
                </c:pt>
                <c:pt idx="36">
                  <c:v>0.67</c:v>
                </c:pt>
                <c:pt idx="37">
                  <c:v>0.73</c:v>
                </c:pt>
                <c:pt idx="38">
                  <c:v>0.68</c:v>
                </c:pt>
                <c:pt idx="39">
                  <c:v>0.79</c:v>
                </c:pt>
                <c:pt idx="40">
                  <c:v>0.77</c:v>
                </c:pt>
                <c:pt idx="41">
                  <c:v>0.78</c:v>
                </c:pt>
                <c:pt idx="42">
                  <c:v>0.77</c:v>
                </c:pt>
                <c:pt idx="43">
                  <c:v>0.79</c:v>
                </c:pt>
                <c:pt idx="44">
                  <c:v>0.76</c:v>
                </c:pt>
                <c:pt idx="45">
                  <c:v>0.82</c:v>
                </c:pt>
                <c:pt idx="46">
                  <c:v>0.8</c:v>
                </c:pt>
                <c:pt idx="47">
                  <c:v>0.56999999999999995</c:v>
                </c:pt>
                <c:pt idx="48">
                  <c:v>0.76</c:v>
                </c:pt>
                <c:pt idx="49">
                  <c:v>0.84</c:v>
                </c:pt>
                <c:pt idx="50">
                  <c:v>0.83</c:v>
                </c:pt>
                <c:pt idx="51">
                  <c:v>0.84</c:v>
                </c:pt>
                <c:pt idx="52">
                  <c:v>0.83</c:v>
                </c:pt>
                <c:pt idx="53">
                  <c:v>0.87</c:v>
                </c:pt>
                <c:pt idx="54">
                  <c:v>0.89</c:v>
                </c:pt>
                <c:pt idx="55">
                  <c:v>0.88</c:v>
                </c:pt>
                <c:pt idx="56">
                  <c:v>0.91</c:v>
                </c:pt>
                <c:pt idx="57">
                  <c:v>0.88</c:v>
                </c:pt>
                <c:pt idx="58">
                  <c:v>0.9</c:v>
                </c:pt>
                <c:pt idx="59">
                  <c:v>0.9</c:v>
                </c:pt>
                <c:pt idx="60">
                  <c:v>0.92</c:v>
                </c:pt>
              </c:numCache>
            </c:numRef>
          </c:val>
          <c:extLst>
            <c:ext xmlns:c16="http://schemas.microsoft.com/office/drawing/2014/chart" uri="{C3380CC4-5D6E-409C-BE32-E72D297353CC}">
              <c16:uniqueId val="{0000005B-6CF5-425A-90C7-FAF7E7695DE8}"/>
            </c:ext>
          </c:extLst>
        </c:ser>
        <c:ser>
          <c:idx val="2"/>
          <c:order val="2"/>
          <c:tx>
            <c:strRef>
              <c:f>Sheet1!$D$1</c:f>
              <c:strCache>
                <c:ptCount val="1"/>
                <c:pt idx="0">
                  <c:v>No sabe</c:v>
                </c:pt>
              </c:strCache>
            </c:strRef>
          </c:tx>
          <c:spPr>
            <a:solidFill>
              <a:schemeClr val="bg1">
                <a:lumMod val="75000"/>
              </a:schemeClr>
            </a:solidFill>
            <a:ln>
              <a:solidFill>
                <a:schemeClr val="bg1">
                  <a:lumMod val="75000"/>
                </a:schemeClr>
              </a:solidFill>
            </a:ln>
            <a:effectLst/>
          </c:spPr>
          <c:invertIfNegative val="0"/>
          <c:dLbls>
            <c:delete val="1"/>
          </c:dLbls>
          <c:cat>
            <c:strRef>
              <c:f>Sheet1!$A$2:$A$62</c:f>
              <c:strCache>
                <c:ptCount val="61"/>
                <c:pt idx="0">
                  <c:v>PROMEDIO GLOBAL</c:v>
                </c:pt>
                <c:pt idx="1">
                  <c:v>Suiza</c:v>
                </c:pt>
                <c:pt idx="2">
                  <c:v>Suecia</c:v>
                </c:pt>
                <c:pt idx="3">
                  <c:v>Indonesia</c:v>
                </c:pt>
                <c:pt idx="4">
                  <c:v>Emiratos Árabes Unidos</c:v>
                </c:pt>
                <c:pt idx="5">
                  <c:v>India</c:v>
                </c:pt>
                <c:pt idx="6">
                  <c:v>Países Bajos</c:v>
                </c:pt>
                <c:pt idx="7">
                  <c:v>Bolivia</c:v>
                </c:pt>
                <c:pt idx="8">
                  <c:v>Canadá</c:v>
                </c:pt>
                <c:pt idx="9">
                  <c:v>Austria</c:v>
                </c:pt>
                <c:pt idx="10">
                  <c:v>Alemania</c:v>
                </c:pt>
                <c:pt idx="11">
                  <c:v>Irlanda</c:v>
                </c:pt>
                <c:pt idx="12">
                  <c:v>Luxemburgo</c:v>
                </c:pt>
                <c:pt idx="13">
                  <c:v>Reino Unido</c:v>
                </c:pt>
                <c:pt idx="14">
                  <c:v>Eslovenia</c:v>
                </c:pt>
                <c:pt idx="15">
                  <c:v>Estados Unidos</c:v>
                </c:pt>
                <c:pt idx="16">
                  <c:v>Vietnam</c:v>
                </c:pt>
                <c:pt idx="17">
                  <c:v>Kosovo</c:v>
                </c:pt>
                <c:pt idx="18">
                  <c:v>Francia</c:v>
                </c:pt>
                <c:pt idx="19">
                  <c:v>República Checa</c:v>
                </c:pt>
                <c:pt idx="20">
                  <c:v>Bélgica</c:v>
                </c:pt>
                <c:pt idx="21">
                  <c:v>Tailandia</c:v>
                </c:pt>
                <c:pt idx="22">
                  <c:v>Filipinas</c:v>
                </c:pt>
                <c:pt idx="23">
                  <c:v>Armenia</c:v>
                </c:pt>
                <c:pt idx="24">
                  <c:v>Pakistán</c:v>
                </c:pt>
                <c:pt idx="25">
                  <c:v>Rusia</c:v>
                </c:pt>
                <c:pt idx="26">
                  <c:v>Territorios Palestinos</c:v>
                </c:pt>
                <c:pt idx="27">
                  <c:v>Italia</c:v>
                </c:pt>
                <c:pt idx="28">
                  <c:v>Kazajistán</c:v>
                </c:pt>
                <c:pt idx="29">
                  <c:v>México</c:v>
                </c:pt>
                <c:pt idx="30">
                  <c:v>Eslovaquia</c:v>
                </c:pt>
                <c:pt idx="31">
                  <c:v>Costa de Marfil</c:v>
                </c:pt>
                <c:pt idx="32">
                  <c:v>República de Corea</c:v>
                </c:pt>
                <c:pt idx="33">
                  <c:v>Camerún</c:v>
                </c:pt>
                <c:pt idx="34">
                  <c:v>Rumania</c:v>
                </c:pt>
                <c:pt idx="35">
                  <c:v>Polonia</c:v>
                </c:pt>
                <c:pt idx="36">
                  <c:v>Serbia</c:v>
                </c:pt>
                <c:pt idx="37">
                  <c:v>Hungría</c:v>
                </c:pt>
                <c:pt idx="38">
                  <c:v>Moldavia</c:v>
                </c:pt>
                <c:pt idx="39">
                  <c:v>Irak</c:v>
                </c:pt>
                <c:pt idx="40">
                  <c:v>Siria</c:v>
                </c:pt>
                <c:pt idx="41">
                  <c:v>Afganistán</c:v>
                </c:pt>
                <c:pt idx="42">
                  <c:v>Senegal</c:v>
                </c:pt>
                <c:pt idx="43">
                  <c:v>Portugal</c:v>
                </c:pt>
                <c:pt idx="44">
                  <c:v>España</c:v>
                </c:pt>
                <c:pt idx="45">
                  <c:v>Sierra Leona</c:v>
                </c:pt>
                <c:pt idx="46">
                  <c:v>Jordania</c:v>
                </c:pt>
                <c:pt idx="47">
                  <c:v>Japón</c:v>
                </c:pt>
                <c:pt idx="48">
                  <c:v>Bulgaria</c:v>
                </c:pt>
                <c:pt idx="49">
                  <c:v>Kenia</c:v>
                </c:pt>
                <c:pt idx="50">
                  <c:v>Grecia</c:v>
                </c:pt>
                <c:pt idx="51">
                  <c:v>Ghana</c:v>
                </c:pt>
                <c:pt idx="52">
                  <c:v>Ecuador</c:v>
                </c:pt>
                <c:pt idx="53">
                  <c:v>Croacia</c:v>
                </c:pt>
                <c:pt idx="54">
                  <c:v>Libia</c:v>
                </c:pt>
                <c:pt idx="55">
                  <c:v>Georgia</c:v>
                </c:pt>
                <c:pt idx="56">
                  <c:v>Nigeria</c:v>
                </c:pt>
                <c:pt idx="57">
                  <c:v>Macedonia del Norte</c:v>
                </c:pt>
                <c:pt idx="58">
                  <c:v>Perú</c:v>
                </c:pt>
                <c:pt idx="59">
                  <c:v>Argentina</c:v>
                </c:pt>
                <c:pt idx="60">
                  <c:v>Bosnia y Herzegovina</c:v>
                </c:pt>
              </c:strCache>
            </c:strRef>
          </c:cat>
          <c:val>
            <c:numRef>
              <c:f>Sheet1!$D$2:$D$62</c:f>
              <c:numCache>
                <c:formatCode>0%</c:formatCode>
                <c:ptCount val="61"/>
                <c:pt idx="0">
                  <c:v>7.0000000000000007E-2</c:v>
                </c:pt>
                <c:pt idx="1">
                  <c:v>0.09</c:v>
                </c:pt>
                <c:pt idx="2">
                  <c:v>0.1</c:v>
                </c:pt>
                <c:pt idx="3">
                  <c:v>0.04</c:v>
                </c:pt>
                <c:pt idx="4">
                  <c:v>0.03</c:v>
                </c:pt>
                <c:pt idx="5">
                  <c:v>0.17</c:v>
                </c:pt>
                <c:pt idx="6">
                  <c:v>0.11</c:v>
                </c:pt>
                <c:pt idx="8">
                  <c:v>0.09</c:v>
                </c:pt>
                <c:pt idx="9">
                  <c:v>0.08</c:v>
                </c:pt>
                <c:pt idx="10">
                  <c:v>0.08</c:v>
                </c:pt>
                <c:pt idx="11">
                  <c:v>0.08</c:v>
                </c:pt>
                <c:pt idx="12">
                  <c:v>0.12</c:v>
                </c:pt>
                <c:pt idx="13">
                  <c:v>0.1</c:v>
                </c:pt>
                <c:pt idx="14">
                  <c:v>0.06</c:v>
                </c:pt>
                <c:pt idx="15">
                  <c:v>0.09</c:v>
                </c:pt>
                <c:pt idx="16">
                  <c:v>0.02</c:v>
                </c:pt>
                <c:pt idx="17">
                  <c:v>0.08</c:v>
                </c:pt>
                <c:pt idx="18">
                  <c:v>0.1</c:v>
                </c:pt>
                <c:pt idx="19">
                  <c:v>7.0000000000000007E-2</c:v>
                </c:pt>
                <c:pt idx="20">
                  <c:v>0.12</c:v>
                </c:pt>
                <c:pt idx="21">
                  <c:v>0.05</c:v>
                </c:pt>
                <c:pt idx="22">
                  <c:v>0.06</c:v>
                </c:pt>
                <c:pt idx="23">
                  <c:v>0.06</c:v>
                </c:pt>
                <c:pt idx="24">
                  <c:v>0.03</c:v>
                </c:pt>
                <c:pt idx="25">
                  <c:v>0.26</c:v>
                </c:pt>
                <c:pt idx="26">
                  <c:v>7.0000000000000007E-2</c:v>
                </c:pt>
                <c:pt idx="27">
                  <c:v>0.11</c:v>
                </c:pt>
                <c:pt idx="28">
                  <c:v>0.05</c:v>
                </c:pt>
                <c:pt idx="29">
                  <c:v>0.04</c:v>
                </c:pt>
                <c:pt idx="30">
                  <c:v>0.04</c:v>
                </c:pt>
                <c:pt idx="31">
                  <c:v>0.02</c:v>
                </c:pt>
                <c:pt idx="32">
                  <c:v>0.04</c:v>
                </c:pt>
                <c:pt idx="33">
                  <c:v>0.05</c:v>
                </c:pt>
                <c:pt idx="34">
                  <c:v>7.0000000000000007E-2</c:v>
                </c:pt>
                <c:pt idx="35">
                  <c:v>7.0000000000000007E-2</c:v>
                </c:pt>
                <c:pt idx="36">
                  <c:v>0.1</c:v>
                </c:pt>
                <c:pt idx="37">
                  <c:v>0.05</c:v>
                </c:pt>
                <c:pt idx="38">
                  <c:v>0.11</c:v>
                </c:pt>
                <c:pt idx="39">
                  <c:v>0</c:v>
                </c:pt>
                <c:pt idx="40">
                  <c:v>0.01</c:v>
                </c:pt>
                <c:pt idx="41">
                  <c:v>0.02</c:v>
                </c:pt>
                <c:pt idx="42">
                  <c:v>0.04</c:v>
                </c:pt>
                <c:pt idx="43">
                  <c:v>0.02</c:v>
                </c:pt>
                <c:pt idx="44">
                  <c:v>0.05</c:v>
                </c:pt>
                <c:pt idx="46">
                  <c:v>0.03</c:v>
                </c:pt>
                <c:pt idx="47">
                  <c:v>0.27</c:v>
                </c:pt>
                <c:pt idx="48">
                  <c:v>0.1</c:v>
                </c:pt>
                <c:pt idx="49">
                  <c:v>0.01</c:v>
                </c:pt>
                <c:pt idx="50">
                  <c:v>0.03</c:v>
                </c:pt>
                <c:pt idx="51">
                  <c:v>0.04</c:v>
                </c:pt>
                <c:pt idx="52">
                  <c:v>0.05</c:v>
                </c:pt>
                <c:pt idx="53">
                  <c:v>0.02</c:v>
                </c:pt>
                <c:pt idx="54">
                  <c:v>0.01</c:v>
                </c:pt>
                <c:pt idx="55">
                  <c:v>0.03</c:v>
                </c:pt>
                <c:pt idx="56">
                  <c:v>0</c:v>
                </c:pt>
                <c:pt idx="57">
                  <c:v>0.04</c:v>
                </c:pt>
                <c:pt idx="58">
                  <c:v>0.03</c:v>
                </c:pt>
                <c:pt idx="59">
                  <c:v>0.04</c:v>
                </c:pt>
                <c:pt idx="60">
                  <c:v>0.02</c:v>
                </c:pt>
              </c:numCache>
            </c:numRef>
          </c:val>
          <c:extLst>
            <c:ext xmlns:c16="http://schemas.microsoft.com/office/drawing/2014/chart" uri="{C3380CC4-5D6E-409C-BE32-E72D297353CC}">
              <c16:uniqueId val="{0000005C-6CF5-425A-90C7-FAF7E7695DE8}"/>
            </c:ext>
          </c:extLst>
        </c:ser>
        <c:dLbls>
          <c:dLblPos val="inBase"/>
          <c:showLegendKey val="0"/>
          <c:showVal val="1"/>
          <c:showCatName val="0"/>
          <c:showSerName val="0"/>
          <c:showPercent val="0"/>
          <c:showBubbleSize val="0"/>
        </c:dLbls>
        <c:gapWidth val="150"/>
        <c:overlap val="100"/>
        <c:axId val="363879144"/>
        <c:axId val="363880712"/>
      </c:barChart>
      <c:catAx>
        <c:axId val="363879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AR"/>
          </a:p>
        </c:txPr>
        <c:crossAx val="363880712"/>
        <c:crosses val="autoZero"/>
        <c:auto val="1"/>
        <c:lblAlgn val="ctr"/>
        <c:lblOffset val="100"/>
        <c:noMultiLvlLbl val="0"/>
      </c:catAx>
      <c:valAx>
        <c:axId val="363880712"/>
        <c:scaling>
          <c:orientation val="minMax"/>
        </c:scaling>
        <c:delete val="1"/>
        <c:axPos val="t"/>
        <c:numFmt formatCode="0%" sourceLinked="1"/>
        <c:majorTickMark val="none"/>
        <c:minorTickMark val="none"/>
        <c:tickLblPos val="nextTo"/>
        <c:crossAx val="3638791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noFill/>
      <a:round/>
    </a:ln>
    <a:effectLst/>
  </c:spPr>
  <c:txPr>
    <a:bodyPr/>
    <a:lstStyle/>
    <a:p>
      <a:pPr>
        <a:defRPr sz="800"/>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33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330"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1197"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1197"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62"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4A17A-CDB5-4A1F-B4AC-27E987C44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1390</Words>
  <Characters>7648</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2</cp:revision>
  <dcterms:created xsi:type="dcterms:W3CDTF">2023-05-10T16:25:00Z</dcterms:created>
  <dcterms:modified xsi:type="dcterms:W3CDTF">2023-05-10T16:25:00Z</dcterms:modified>
</cp:coreProperties>
</file>