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02C0E" w14:textId="77777777" w:rsidR="00A077CD" w:rsidRDefault="00693258" w:rsidP="00727EFC">
      <w:pPr>
        <w:pStyle w:val="s4"/>
        <w:spacing w:before="0" w:after="0"/>
        <w:rPr>
          <w:rFonts w:ascii="Calibri" w:hAnsi="Calibri" w:cs="Calibri"/>
          <w:color w:val="FF0000"/>
          <w:sz w:val="28"/>
          <w:szCs w:val="28"/>
          <w:lang w:val="es-AR" w:eastAsia="en-US"/>
        </w:rPr>
      </w:pPr>
      <w:bookmarkStart w:id="0" w:name="_GoBack"/>
      <w:bookmarkEnd w:id="0"/>
      <w:r>
        <w:rPr>
          <w:rFonts w:ascii="Calibri" w:hAnsi="Calibri" w:cs="Calibri"/>
          <w:noProof/>
          <w:color w:val="FF0000"/>
          <w:sz w:val="28"/>
          <w:szCs w:val="28"/>
          <w:lang w:eastAsia="en-US"/>
          <w14:ligatures w14:val="standardContextual"/>
        </w:rPr>
        <w:drawing>
          <wp:inline distT="0" distB="0" distL="0" distR="0" wp14:anchorId="73D085A8" wp14:editId="21A47552">
            <wp:extent cx="1038225" cy="754335"/>
            <wp:effectExtent l="0" t="0" r="0" b="8255"/>
            <wp:docPr id="418618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1860" name="Imagen 41861860"/>
                    <pic:cNvPicPr/>
                  </pic:nvPicPr>
                  <pic:blipFill>
                    <a:blip r:embed="rId7">
                      <a:extLst>
                        <a:ext uri="{28A0092B-C50C-407E-A947-70E740481C1C}">
                          <a14:useLocalDpi xmlns:a14="http://schemas.microsoft.com/office/drawing/2010/main" val="0"/>
                        </a:ext>
                      </a:extLst>
                    </a:blip>
                    <a:stretch>
                      <a:fillRect/>
                    </a:stretch>
                  </pic:blipFill>
                  <pic:spPr>
                    <a:xfrm>
                      <a:off x="0" y="0"/>
                      <a:ext cx="1042675" cy="757569"/>
                    </a:xfrm>
                    <a:prstGeom prst="rect">
                      <a:avLst/>
                    </a:prstGeom>
                  </pic:spPr>
                </pic:pic>
              </a:graphicData>
            </a:graphic>
          </wp:inline>
        </w:drawing>
      </w:r>
    </w:p>
    <w:p w14:paraId="3806F67E" w14:textId="77777777" w:rsidR="00727EFC" w:rsidRPr="00A077CD" w:rsidRDefault="00727EFC" w:rsidP="007F44CE">
      <w:pPr>
        <w:pStyle w:val="s4"/>
        <w:spacing w:before="0" w:after="0" w:line="276" w:lineRule="auto"/>
        <w:rPr>
          <w:rFonts w:ascii="Calibri" w:hAnsi="Calibri" w:cs="Calibri"/>
          <w:color w:val="FF0000"/>
          <w:sz w:val="28"/>
          <w:szCs w:val="28"/>
          <w:lang w:val="es-AR" w:eastAsia="en-US"/>
        </w:rPr>
      </w:pPr>
    </w:p>
    <w:p w14:paraId="7E2B1EB4" w14:textId="77777777" w:rsidR="00635C92" w:rsidRDefault="00602387" w:rsidP="00602387">
      <w:pPr>
        <w:spacing w:after="0" w:line="276" w:lineRule="auto"/>
        <w:jc w:val="center"/>
        <w:rPr>
          <w:b/>
          <w:bCs/>
          <w:sz w:val="28"/>
          <w:szCs w:val="28"/>
          <w:lang w:val="es-ES"/>
        </w:rPr>
      </w:pPr>
      <w:r>
        <w:rPr>
          <w:b/>
          <w:bCs/>
          <w:sz w:val="26"/>
          <w:szCs w:val="26"/>
          <w:lang w:val="es-ES"/>
        </w:rPr>
        <w:t>Según la más reciente encuesta internacional de Voices! m</w:t>
      </w:r>
      <w:r w:rsidR="00CB243E" w:rsidRPr="006E42AC">
        <w:rPr>
          <w:b/>
          <w:bCs/>
          <w:sz w:val="26"/>
          <w:szCs w:val="26"/>
          <w:lang w:val="es-ES"/>
        </w:rPr>
        <w:t>ás de la mitad de los argentino</w:t>
      </w:r>
      <w:r>
        <w:rPr>
          <w:b/>
          <w:bCs/>
          <w:sz w:val="26"/>
          <w:szCs w:val="26"/>
          <w:lang w:val="es-ES"/>
        </w:rPr>
        <w:t>s preferiría vivir en otro país, lo que nos ubica en el 5</w:t>
      </w:r>
      <w:r w:rsidR="00352348">
        <w:rPr>
          <w:b/>
          <w:bCs/>
          <w:sz w:val="26"/>
          <w:szCs w:val="26"/>
          <w:lang w:val="es-ES"/>
        </w:rPr>
        <w:t>to</w:t>
      </w:r>
      <w:r>
        <w:rPr>
          <w:b/>
          <w:bCs/>
          <w:sz w:val="26"/>
          <w:szCs w:val="26"/>
          <w:lang w:val="es-ES"/>
        </w:rPr>
        <w:t xml:space="preserve"> lugar de una serie de 57 países donde se realizó el estudio. </w:t>
      </w:r>
    </w:p>
    <w:p w14:paraId="5745E4E9" w14:textId="77777777" w:rsidR="00DA7868" w:rsidRPr="002F1173" w:rsidRDefault="00DA7868" w:rsidP="007F44CE">
      <w:pPr>
        <w:spacing w:after="0" w:line="276" w:lineRule="auto"/>
        <w:jc w:val="center"/>
        <w:rPr>
          <w:b/>
          <w:bCs/>
          <w:szCs w:val="28"/>
          <w:lang w:val="es-ES"/>
        </w:rPr>
      </w:pPr>
    </w:p>
    <w:p w14:paraId="2F6BB2DC" w14:textId="77777777" w:rsidR="00635C92" w:rsidRPr="00602387" w:rsidRDefault="00DA7868" w:rsidP="002F1173">
      <w:pPr>
        <w:spacing w:after="0" w:line="276" w:lineRule="auto"/>
        <w:jc w:val="both"/>
        <w:rPr>
          <w:bCs/>
          <w:sz w:val="24"/>
          <w:szCs w:val="24"/>
          <w:lang w:val="es-ES"/>
        </w:rPr>
      </w:pPr>
      <w:r w:rsidRPr="00602387">
        <w:rPr>
          <w:bCs/>
          <w:sz w:val="24"/>
          <w:szCs w:val="24"/>
          <w:lang w:val="es-ES"/>
        </w:rPr>
        <w:t>Este es el resultado de un</w:t>
      </w:r>
      <w:r w:rsidR="0074531C" w:rsidRPr="00602387">
        <w:rPr>
          <w:bCs/>
          <w:sz w:val="24"/>
          <w:szCs w:val="24"/>
          <w:lang w:val="es-ES"/>
        </w:rPr>
        <w:t xml:space="preserve"> </w:t>
      </w:r>
      <w:r w:rsidRPr="00602387">
        <w:rPr>
          <w:bCs/>
          <w:sz w:val="24"/>
          <w:szCs w:val="24"/>
          <w:lang w:val="es-ES"/>
        </w:rPr>
        <w:t xml:space="preserve">estudio global </w:t>
      </w:r>
      <w:r w:rsidR="0074531C" w:rsidRPr="00602387">
        <w:rPr>
          <w:bCs/>
          <w:sz w:val="24"/>
          <w:szCs w:val="24"/>
          <w:lang w:val="es-ES"/>
        </w:rPr>
        <w:t>de opinión pública realizad</w:t>
      </w:r>
      <w:r w:rsidR="00693258">
        <w:rPr>
          <w:bCs/>
          <w:sz w:val="24"/>
          <w:szCs w:val="24"/>
          <w:lang w:val="es-ES"/>
        </w:rPr>
        <w:t>o</w:t>
      </w:r>
      <w:r w:rsidR="0074531C" w:rsidRPr="00602387">
        <w:rPr>
          <w:bCs/>
          <w:sz w:val="24"/>
          <w:szCs w:val="24"/>
          <w:lang w:val="es-ES"/>
        </w:rPr>
        <w:t xml:space="preserve"> </w:t>
      </w:r>
      <w:r w:rsidR="00635C92" w:rsidRPr="007374C4">
        <w:rPr>
          <w:b/>
          <w:bCs/>
          <w:sz w:val="24"/>
          <w:szCs w:val="24"/>
          <w:lang w:val="es-ES"/>
        </w:rPr>
        <w:t>en 57 países que abarcan aproximadamente dos tercios de la población mundial</w:t>
      </w:r>
      <w:r w:rsidR="002F1173" w:rsidRPr="002F1173">
        <w:rPr>
          <w:bCs/>
          <w:sz w:val="24"/>
          <w:szCs w:val="24"/>
          <w:lang w:val="es-ES"/>
        </w:rPr>
        <w:t>, incluyendo Argentina</w:t>
      </w:r>
      <w:r w:rsidR="002F1173">
        <w:rPr>
          <w:bCs/>
          <w:sz w:val="24"/>
          <w:szCs w:val="24"/>
          <w:lang w:val="es-ES"/>
        </w:rPr>
        <w:t xml:space="preserve"> en</w:t>
      </w:r>
      <w:r w:rsidR="002F1173" w:rsidRPr="002F1173">
        <w:rPr>
          <w:bCs/>
          <w:sz w:val="24"/>
          <w:szCs w:val="24"/>
          <w:lang w:val="es-ES"/>
        </w:rPr>
        <w:t xml:space="preserve"> donde</w:t>
      </w:r>
      <w:r w:rsidR="002F1173">
        <w:rPr>
          <w:b/>
          <w:bCs/>
          <w:sz w:val="24"/>
          <w:szCs w:val="24"/>
          <w:lang w:val="es-ES"/>
        </w:rPr>
        <w:t xml:space="preserve"> </w:t>
      </w:r>
      <w:r w:rsidRPr="00602387">
        <w:rPr>
          <w:bCs/>
          <w:sz w:val="24"/>
          <w:szCs w:val="24"/>
          <w:lang w:val="es-ES"/>
        </w:rPr>
        <w:t xml:space="preserve">Voices! realizó el </w:t>
      </w:r>
      <w:r w:rsidR="002F1173">
        <w:rPr>
          <w:bCs/>
          <w:sz w:val="24"/>
          <w:szCs w:val="24"/>
          <w:lang w:val="es-ES"/>
        </w:rPr>
        <w:t>sondeo</w:t>
      </w:r>
      <w:r w:rsidRPr="00602387">
        <w:rPr>
          <w:bCs/>
          <w:sz w:val="24"/>
          <w:szCs w:val="24"/>
          <w:lang w:val="es-ES"/>
        </w:rPr>
        <w:t>.</w:t>
      </w:r>
      <w:r w:rsidR="002F1173">
        <w:rPr>
          <w:bCs/>
          <w:sz w:val="24"/>
          <w:szCs w:val="24"/>
          <w:lang w:val="es-ES"/>
        </w:rPr>
        <w:t xml:space="preserve"> La pregunta </w:t>
      </w:r>
      <w:r w:rsidR="002F1173" w:rsidRPr="002F1173">
        <w:rPr>
          <w:bCs/>
          <w:sz w:val="24"/>
          <w:szCs w:val="24"/>
          <w:lang w:val="es-ES"/>
        </w:rPr>
        <w:t>pretende medir una posible predisposición general de cambiar de país de residencia.</w:t>
      </w:r>
    </w:p>
    <w:p w14:paraId="51B97132" w14:textId="77777777" w:rsidR="007F44CE" w:rsidRPr="00DA7868" w:rsidRDefault="007F44CE" w:rsidP="007F44CE">
      <w:pPr>
        <w:spacing w:after="0" w:line="276" w:lineRule="auto"/>
        <w:jc w:val="both"/>
        <w:rPr>
          <w:b/>
          <w:bCs/>
          <w:color w:val="5B9BD5" w:themeColor="accent5"/>
          <w:sz w:val="24"/>
          <w:szCs w:val="24"/>
          <w:lang w:val="es-ES"/>
        </w:rPr>
      </w:pPr>
    </w:p>
    <w:p w14:paraId="52386BBF" w14:textId="77777777" w:rsidR="007374C4" w:rsidRPr="00EB2DAA" w:rsidRDefault="00635C92" w:rsidP="007374C4">
      <w:pPr>
        <w:tabs>
          <w:tab w:val="left" w:pos="1095"/>
        </w:tabs>
        <w:spacing w:after="0" w:line="276" w:lineRule="auto"/>
        <w:jc w:val="both"/>
        <w:rPr>
          <w:sz w:val="24"/>
          <w:szCs w:val="24"/>
          <w:lang w:val="es-ES"/>
        </w:rPr>
      </w:pPr>
      <w:r w:rsidRPr="007374C4">
        <w:rPr>
          <w:b/>
          <w:sz w:val="24"/>
          <w:szCs w:val="24"/>
          <w:lang w:val="es-ES"/>
        </w:rPr>
        <w:t>El 36% de los ciudadanos del mundo respondió afirmativamente a la pregunta "Si le dieran todos los papeles necesarios, ¿le gustaría vivir en otro país o preferiría quedarse donde</w:t>
      </w:r>
      <w:r w:rsidR="00967FE4" w:rsidRPr="007374C4">
        <w:rPr>
          <w:b/>
          <w:sz w:val="24"/>
          <w:szCs w:val="24"/>
          <w:lang w:val="es-ES"/>
        </w:rPr>
        <w:t xml:space="preserve"> </w:t>
      </w:r>
      <w:r w:rsidRPr="007374C4">
        <w:rPr>
          <w:b/>
          <w:sz w:val="24"/>
          <w:szCs w:val="24"/>
          <w:lang w:val="es-ES"/>
        </w:rPr>
        <w:t>está?",</w:t>
      </w:r>
      <w:r w:rsidR="00693258" w:rsidRPr="007374C4">
        <w:rPr>
          <w:b/>
          <w:sz w:val="24"/>
          <w:szCs w:val="24"/>
          <w:lang w:val="es-ES"/>
        </w:rPr>
        <w:t xml:space="preserve"> </w:t>
      </w:r>
      <w:r w:rsidRPr="007374C4">
        <w:rPr>
          <w:b/>
          <w:sz w:val="24"/>
          <w:szCs w:val="24"/>
          <w:lang w:val="es-ES"/>
        </w:rPr>
        <w:t xml:space="preserve">el 59% respondió que le gustaría quedarse donde está y el </w:t>
      </w:r>
      <w:r w:rsidR="00602387" w:rsidRPr="007374C4">
        <w:rPr>
          <w:b/>
          <w:sz w:val="24"/>
          <w:szCs w:val="24"/>
          <w:lang w:val="es-ES"/>
        </w:rPr>
        <w:t xml:space="preserve">5% </w:t>
      </w:r>
      <w:r w:rsidRPr="007374C4">
        <w:rPr>
          <w:b/>
          <w:sz w:val="24"/>
          <w:szCs w:val="24"/>
          <w:lang w:val="es-ES"/>
        </w:rPr>
        <w:t>no contestó a la pregunta</w:t>
      </w:r>
      <w:r w:rsidR="00396416" w:rsidRPr="007374C4">
        <w:rPr>
          <w:b/>
          <w:sz w:val="24"/>
          <w:szCs w:val="24"/>
          <w:lang w:val="es-ES"/>
        </w:rPr>
        <w:t xml:space="preserve"> </w:t>
      </w:r>
      <w:r w:rsidR="007374C4">
        <w:rPr>
          <w:sz w:val="24"/>
          <w:szCs w:val="24"/>
          <w:lang w:val="es-ES"/>
        </w:rPr>
        <w:t xml:space="preserve">y, </w:t>
      </w:r>
      <w:r w:rsidR="007374C4">
        <w:rPr>
          <w:sz w:val="24"/>
          <w:szCs w:val="24"/>
        </w:rPr>
        <w:t>e</w:t>
      </w:r>
      <w:r w:rsidR="007374C4" w:rsidRPr="00F85DC2">
        <w:rPr>
          <w:sz w:val="24"/>
          <w:szCs w:val="24"/>
        </w:rPr>
        <w:t>n comparación con</w:t>
      </w:r>
      <w:r w:rsidR="007374C4">
        <w:rPr>
          <w:sz w:val="24"/>
          <w:szCs w:val="24"/>
        </w:rPr>
        <w:t xml:space="preserve"> los</w:t>
      </w:r>
      <w:r w:rsidR="007374C4" w:rsidRPr="00F85DC2">
        <w:rPr>
          <w:sz w:val="24"/>
          <w:szCs w:val="24"/>
        </w:rPr>
        <w:t xml:space="preserve"> estudios globales anteriores, registramos un ligero aumento del potencial de emigración. Quizás</w:t>
      </w:r>
      <w:r w:rsidR="007374C4">
        <w:rPr>
          <w:sz w:val="24"/>
          <w:szCs w:val="24"/>
        </w:rPr>
        <w:t xml:space="preserve"> </w:t>
      </w:r>
      <w:r w:rsidR="007374C4" w:rsidRPr="00F85DC2">
        <w:rPr>
          <w:sz w:val="24"/>
          <w:szCs w:val="24"/>
        </w:rPr>
        <w:t>esto no sea realmente una sorpresa. Las generaciones más jóvenes son cada vez más móviles.</w:t>
      </w:r>
      <w:r w:rsidR="007374C4">
        <w:rPr>
          <w:sz w:val="24"/>
          <w:szCs w:val="24"/>
        </w:rPr>
        <w:t xml:space="preserve"> </w:t>
      </w:r>
    </w:p>
    <w:p w14:paraId="598A5D65" w14:textId="77777777" w:rsidR="007F44CE" w:rsidRPr="004E3C94" w:rsidRDefault="007F44CE" w:rsidP="007F44CE">
      <w:pPr>
        <w:spacing w:after="0" w:line="276" w:lineRule="auto"/>
        <w:jc w:val="both"/>
        <w:rPr>
          <w:strike/>
          <w:sz w:val="24"/>
          <w:szCs w:val="24"/>
          <w:lang w:val="es-ES"/>
        </w:rPr>
      </w:pPr>
    </w:p>
    <w:p w14:paraId="2C2DD1D2" w14:textId="77777777" w:rsidR="0063466F" w:rsidRPr="004E3C94" w:rsidRDefault="0063466F" w:rsidP="007F44CE">
      <w:pPr>
        <w:tabs>
          <w:tab w:val="left" w:pos="1095"/>
        </w:tabs>
        <w:spacing w:after="0" w:line="276" w:lineRule="auto"/>
        <w:jc w:val="both"/>
        <w:rPr>
          <w:strike/>
          <w:sz w:val="24"/>
          <w:szCs w:val="24"/>
          <w:lang w:val="es-ES"/>
        </w:rPr>
      </w:pPr>
      <w:r w:rsidRPr="004E3C94">
        <w:rPr>
          <w:sz w:val="24"/>
          <w:szCs w:val="24"/>
          <w:lang w:val="es-ES"/>
        </w:rPr>
        <w:t xml:space="preserve">Los países más dispuestos a emigrar fueron </w:t>
      </w:r>
      <w:r w:rsidRPr="004E3C94">
        <w:rPr>
          <w:b/>
          <w:sz w:val="24"/>
          <w:szCs w:val="24"/>
          <w:lang w:val="es-ES"/>
        </w:rPr>
        <w:t>Sierra Leona (84%), Ghana (81%) y Nigeria (71%).</w:t>
      </w:r>
      <w:r w:rsidR="001E253F" w:rsidRPr="001E253F">
        <w:rPr>
          <w:sz w:val="24"/>
          <w:szCs w:val="24"/>
          <w:lang w:val="es-ES"/>
        </w:rPr>
        <w:t xml:space="preserve"> Por su parte, l</w:t>
      </w:r>
      <w:r w:rsidR="00004B2E" w:rsidRPr="001E253F">
        <w:rPr>
          <w:sz w:val="24"/>
          <w:szCs w:val="24"/>
          <w:lang w:val="es-ES"/>
        </w:rPr>
        <w:t xml:space="preserve">a </w:t>
      </w:r>
      <w:r w:rsidR="00004B2E" w:rsidRPr="001E253F">
        <w:rPr>
          <w:b/>
          <w:sz w:val="24"/>
          <w:szCs w:val="24"/>
          <w:lang w:val="es-ES"/>
        </w:rPr>
        <w:t>menor disposición</w:t>
      </w:r>
      <w:r w:rsidR="00004B2E" w:rsidRPr="001E253F">
        <w:rPr>
          <w:sz w:val="24"/>
          <w:szCs w:val="24"/>
          <w:lang w:val="es-ES"/>
        </w:rPr>
        <w:t xml:space="preserve"> a emigrar se registró en </w:t>
      </w:r>
      <w:r w:rsidRPr="001E253F">
        <w:rPr>
          <w:b/>
          <w:sz w:val="24"/>
          <w:szCs w:val="24"/>
          <w:lang w:val="es-ES"/>
        </w:rPr>
        <w:t xml:space="preserve">India </w:t>
      </w:r>
      <w:r w:rsidR="001E253F" w:rsidRPr="001E253F">
        <w:rPr>
          <w:b/>
          <w:sz w:val="24"/>
          <w:szCs w:val="24"/>
          <w:lang w:val="es-ES"/>
        </w:rPr>
        <w:t>(4%), Vietnam (8%), Japón (14%)</w:t>
      </w:r>
      <w:r w:rsidRPr="001E253F">
        <w:rPr>
          <w:sz w:val="24"/>
          <w:szCs w:val="24"/>
          <w:lang w:val="es-ES"/>
        </w:rPr>
        <w:t>.</w:t>
      </w:r>
      <w:r w:rsidR="001E253F">
        <w:rPr>
          <w:sz w:val="24"/>
          <w:szCs w:val="24"/>
          <w:lang w:val="es-ES"/>
        </w:rPr>
        <w:t xml:space="preserve"> </w:t>
      </w:r>
      <w:r w:rsidR="001E253F" w:rsidRPr="001E253F">
        <w:rPr>
          <w:i/>
          <w:sz w:val="24"/>
          <w:szCs w:val="24"/>
          <w:lang w:val="es-ES"/>
        </w:rPr>
        <w:t>(Ver gráfico al final del informe).</w:t>
      </w:r>
    </w:p>
    <w:p w14:paraId="74D72EDE" w14:textId="77777777" w:rsidR="007F44CE" w:rsidRDefault="007F44CE" w:rsidP="007F44CE">
      <w:pPr>
        <w:tabs>
          <w:tab w:val="left" w:pos="1095"/>
        </w:tabs>
        <w:spacing w:after="0" w:line="276" w:lineRule="auto"/>
        <w:jc w:val="both"/>
        <w:rPr>
          <w:sz w:val="24"/>
          <w:szCs w:val="24"/>
          <w:lang w:val="es-ES"/>
        </w:rPr>
      </w:pPr>
    </w:p>
    <w:p w14:paraId="7E2DE2B8" w14:textId="77777777" w:rsidR="00F457A0" w:rsidRDefault="00137193" w:rsidP="005B7BCC">
      <w:pPr>
        <w:tabs>
          <w:tab w:val="left" w:pos="1095"/>
        </w:tabs>
        <w:spacing w:after="0" w:line="276" w:lineRule="auto"/>
        <w:jc w:val="both"/>
        <w:rPr>
          <w:sz w:val="24"/>
          <w:szCs w:val="24"/>
        </w:rPr>
      </w:pPr>
      <w:r w:rsidRPr="00F85DC2">
        <w:rPr>
          <w:sz w:val="24"/>
          <w:szCs w:val="24"/>
        </w:rPr>
        <w:t>Las poblaciones urbanas pobres de muchas partes del mundo, sobre todo en el llamado</w:t>
      </w:r>
      <w:r>
        <w:rPr>
          <w:sz w:val="24"/>
          <w:szCs w:val="24"/>
        </w:rPr>
        <w:t xml:space="preserve"> </w:t>
      </w:r>
      <w:r w:rsidRPr="00F85DC2">
        <w:rPr>
          <w:sz w:val="24"/>
          <w:szCs w:val="24"/>
        </w:rPr>
        <w:t>mundo en desarrollo</w:t>
      </w:r>
      <w:r>
        <w:rPr>
          <w:sz w:val="24"/>
          <w:szCs w:val="24"/>
        </w:rPr>
        <w:t xml:space="preserve">, </w:t>
      </w:r>
      <w:r w:rsidR="00306EA9">
        <w:rPr>
          <w:sz w:val="24"/>
          <w:szCs w:val="24"/>
        </w:rPr>
        <w:t xml:space="preserve">desean </w:t>
      </w:r>
      <w:r w:rsidRPr="00F85DC2">
        <w:rPr>
          <w:sz w:val="24"/>
          <w:szCs w:val="24"/>
        </w:rPr>
        <w:t>irse a un lugar mejor</w:t>
      </w:r>
      <w:r w:rsidR="004E1FAA">
        <w:rPr>
          <w:sz w:val="24"/>
          <w:szCs w:val="24"/>
        </w:rPr>
        <w:t xml:space="preserve">, y </w:t>
      </w:r>
      <w:r>
        <w:rPr>
          <w:sz w:val="24"/>
          <w:szCs w:val="24"/>
        </w:rPr>
        <w:t>l</w:t>
      </w:r>
      <w:r w:rsidRPr="00F85DC2">
        <w:rPr>
          <w:sz w:val="24"/>
          <w:szCs w:val="24"/>
        </w:rPr>
        <w:t xml:space="preserve">as personas </w:t>
      </w:r>
      <w:r>
        <w:rPr>
          <w:sz w:val="24"/>
          <w:szCs w:val="24"/>
        </w:rPr>
        <w:t xml:space="preserve">exitosas de </w:t>
      </w:r>
      <w:r w:rsidRPr="00F85DC2">
        <w:rPr>
          <w:sz w:val="24"/>
          <w:szCs w:val="24"/>
        </w:rPr>
        <w:t>países pequeños</w:t>
      </w:r>
      <w:r>
        <w:rPr>
          <w:sz w:val="24"/>
          <w:szCs w:val="24"/>
        </w:rPr>
        <w:t xml:space="preserve"> </w:t>
      </w:r>
      <w:r w:rsidRPr="00F85DC2">
        <w:rPr>
          <w:sz w:val="24"/>
          <w:szCs w:val="24"/>
        </w:rPr>
        <w:t>a menudo no ven suficiente potencial para desarrollar sus h</w:t>
      </w:r>
      <w:r w:rsidR="00306EA9">
        <w:rPr>
          <w:sz w:val="24"/>
          <w:szCs w:val="24"/>
        </w:rPr>
        <w:t>abilidades en un mercado acotado</w:t>
      </w:r>
      <w:r w:rsidR="004E1FAA">
        <w:rPr>
          <w:sz w:val="24"/>
          <w:szCs w:val="24"/>
        </w:rPr>
        <w:t>. P</w:t>
      </w:r>
      <w:r>
        <w:rPr>
          <w:sz w:val="24"/>
          <w:szCs w:val="24"/>
        </w:rPr>
        <w:t>or lo tanto, emigrar también aparece como opción</w:t>
      </w:r>
      <w:r w:rsidRPr="00F85DC2">
        <w:rPr>
          <w:sz w:val="24"/>
          <w:szCs w:val="24"/>
        </w:rPr>
        <w:t>.</w:t>
      </w:r>
      <w:r>
        <w:rPr>
          <w:sz w:val="24"/>
          <w:szCs w:val="24"/>
        </w:rPr>
        <w:t xml:space="preserve"> </w:t>
      </w:r>
    </w:p>
    <w:p w14:paraId="415FB896" w14:textId="77777777" w:rsidR="00F457A0" w:rsidRDefault="00F457A0" w:rsidP="005B7BCC">
      <w:pPr>
        <w:tabs>
          <w:tab w:val="left" w:pos="1095"/>
        </w:tabs>
        <w:spacing w:after="0" w:line="276" w:lineRule="auto"/>
        <w:jc w:val="both"/>
        <w:rPr>
          <w:sz w:val="24"/>
          <w:szCs w:val="24"/>
        </w:rPr>
      </w:pPr>
    </w:p>
    <w:p w14:paraId="10392331" w14:textId="77777777" w:rsidR="005B7BCC" w:rsidRPr="00F85DC2" w:rsidRDefault="004E1FAA" w:rsidP="005B7BCC">
      <w:pPr>
        <w:tabs>
          <w:tab w:val="left" w:pos="1095"/>
        </w:tabs>
        <w:spacing w:after="0" w:line="276" w:lineRule="auto"/>
        <w:jc w:val="both"/>
        <w:rPr>
          <w:sz w:val="24"/>
          <w:szCs w:val="24"/>
        </w:rPr>
      </w:pPr>
      <w:r>
        <w:rPr>
          <w:sz w:val="24"/>
          <w:szCs w:val="24"/>
        </w:rPr>
        <w:t xml:space="preserve">Los resultados de la encuesta internacional dejan esto en evidencia. </w:t>
      </w:r>
      <w:r w:rsidR="00D21D2A" w:rsidRPr="007374C4">
        <w:rPr>
          <w:b/>
          <w:sz w:val="24"/>
          <w:szCs w:val="24"/>
          <w:lang w:val="es-ES"/>
        </w:rPr>
        <w:t>La población de los países de bajos ingresos se muestra más propensa a expresar su motivación para emigrar:</w:t>
      </w:r>
      <w:r w:rsidR="00D21D2A" w:rsidRPr="00B04370">
        <w:rPr>
          <w:sz w:val="24"/>
          <w:szCs w:val="24"/>
          <w:lang w:val="es-ES"/>
        </w:rPr>
        <w:t xml:space="preserve"> el 62% de los encuestad</w:t>
      </w:r>
      <w:r w:rsidR="00602387">
        <w:rPr>
          <w:sz w:val="24"/>
          <w:szCs w:val="24"/>
          <w:lang w:val="es-ES"/>
        </w:rPr>
        <w:t xml:space="preserve">os de países de bajos ingresos según la clasificación del </w:t>
      </w:r>
      <w:r w:rsidR="00D21D2A" w:rsidRPr="00B04370">
        <w:rPr>
          <w:sz w:val="24"/>
          <w:szCs w:val="24"/>
          <w:lang w:val="es-ES"/>
        </w:rPr>
        <w:t xml:space="preserve">Banco Mundial señalaron su interés por vivir en otro país. </w:t>
      </w:r>
    </w:p>
    <w:p w14:paraId="7B07DA53" w14:textId="77777777" w:rsidR="005B7BCC" w:rsidRPr="005B7BCC" w:rsidRDefault="005B7BCC" w:rsidP="005B7BCC">
      <w:pPr>
        <w:spacing w:after="0" w:line="276" w:lineRule="auto"/>
        <w:jc w:val="both"/>
        <w:rPr>
          <w:sz w:val="24"/>
          <w:szCs w:val="24"/>
        </w:rPr>
      </w:pPr>
    </w:p>
    <w:p w14:paraId="774FA5F3" w14:textId="77777777" w:rsidR="00D21D2A" w:rsidRDefault="00F457A0" w:rsidP="00602387">
      <w:pPr>
        <w:spacing w:after="0" w:line="276" w:lineRule="auto"/>
        <w:jc w:val="both"/>
        <w:rPr>
          <w:sz w:val="24"/>
          <w:szCs w:val="24"/>
          <w:lang w:val="es-ES"/>
        </w:rPr>
      </w:pPr>
      <w:r>
        <w:rPr>
          <w:sz w:val="24"/>
          <w:szCs w:val="24"/>
          <w:lang w:val="es-ES"/>
        </w:rPr>
        <w:t>Por el contrario, l</w:t>
      </w:r>
      <w:r w:rsidR="005B7BCC" w:rsidRPr="00B04370">
        <w:rPr>
          <w:sz w:val="24"/>
          <w:szCs w:val="24"/>
          <w:lang w:val="es-ES"/>
        </w:rPr>
        <w:t>a motivación parece disminuir a medida que prospera el país en el que se vive.</w:t>
      </w:r>
      <w:r w:rsidR="005B7BCC">
        <w:rPr>
          <w:sz w:val="24"/>
          <w:szCs w:val="24"/>
          <w:lang w:val="es-ES"/>
        </w:rPr>
        <w:t xml:space="preserve"> </w:t>
      </w:r>
      <w:r w:rsidR="00D21D2A" w:rsidRPr="00B04370">
        <w:rPr>
          <w:sz w:val="24"/>
          <w:szCs w:val="24"/>
          <w:lang w:val="es-ES"/>
        </w:rPr>
        <w:t xml:space="preserve">En los </w:t>
      </w:r>
      <w:r w:rsidR="00D21D2A" w:rsidRPr="00004B2E">
        <w:rPr>
          <w:sz w:val="24"/>
          <w:szCs w:val="24"/>
          <w:lang w:val="es-ES"/>
        </w:rPr>
        <w:t>países de altos ingresos, la motivación para emigrar se situó en torno al 32% (la mitad que en los países más pobres).</w:t>
      </w:r>
      <w:r w:rsidR="00602387">
        <w:rPr>
          <w:sz w:val="24"/>
          <w:szCs w:val="24"/>
          <w:lang w:val="es-ES"/>
        </w:rPr>
        <w:t xml:space="preserve"> </w:t>
      </w:r>
      <w:r w:rsidR="00D21D2A" w:rsidRPr="00004B2E">
        <w:rPr>
          <w:sz w:val="24"/>
          <w:szCs w:val="24"/>
          <w:lang w:val="es-ES"/>
        </w:rPr>
        <w:t xml:space="preserve">El análisis revela que </w:t>
      </w:r>
      <w:r w:rsidR="00D21D2A" w:rsidRPr="007374C4">
        <w:rPr>
          <w:b/>
          <w:sz w:val="24"/>
          <w:szCs w:val="24"/>
          <w:lang w:val="es-ES"/>
        </w:rPr>
        <w:t>el propio perfil de ingresos, educación u ocup</w:t>
      </w:r>
      <w:r w:rsidR="00602387" w:rsidRPr="007374C4">
        <w:rPr>
          <w:b/>
          <w:sz w:val="24"/>
          <w:szCs w:val="24"/>
          <w:lang w:val="es-ES"/>
        </w:rPr>
        <w:t xml:space="preserve">ación de los encuestados </w:t>
      </w:r>
      <w:r w:rsidR="00D21D2A" w:rsidRPr="007374C4">
        <w:rPr>
          <w:b/>
          <w:sz w:val="24"/>
          <w:szCs w:val="24"/>
          <w:lang w:val="es-ES"/>
        </w:rPr>
        <w:t>influye</w:t>
      </w:r>
      <w:r w:rsidR="00602387" w:rsidRPr="007374C4">
        <w:rPr>
          <w:b/>
          <w:sz w:val="24"/>
          <w:szCs w:val="24"/>
          <w:lang w:val="es-ES"/>
        </w:rPr>
        <w:t xml:space="preserve"> menos</w:t>
      </w:r>
      <w:r w:rsidR="00D21D2A" w:rsidRPr="007374C4">
        <w:rPr>
          <w:b/>
          <w:sz w:val="24"/>
          <w:szCs w:val="24"/>
          <w:lang w:val="es-ES"/>
        </w:rPr>
        <w:t xml:space="preserve"> en la disposición o la motivación para emigrar</w:t>
      </w:r>
      <w:r w:rsidR="00602387" w:rsidRPr="007374C4">
        <w:rPr>
          <w:b/>
          <w:sz w:val="24"/>
          <w:szCs w:val="24"/>
          <w:lang w:val="es-ES"/>
        </w:rPr>
        <w:t xml:space="preserve"> vs</w:t>
      </w:r>
      <w:r w:rsidR="00693258" w:rsidRPr="007374C4">
        <w:rPr>
          <w:b/>
          <w:sz w:val="24"/>
          <w:szCs w:val="24"/>
          <w:lang w:val="es-ES"/>
        </w:rPr>
        <w:t xml:space="preserve"> </w:t>
      </w:r>
      <w:r w:rsidR="00D21D2A" w:rsidRPr="007374C4">
        <w:rPr>
          <w:b/>
          <w:sz w:val="24"/>
          <w:szCs w:val="24"/>
          <w:lang w:val="es-ES"/>
        </w:rPr>
        <w:t>la renta general del país</w:t>
      </w:r>
      <w:r w:rsidR="00602387" w:rsidRPr="007374C4">
        <w:rPr>
          <w:b/>
          <w:sz w:val="24"/>
          <w:szCs w:val="24"/>
          <w:lang w:val="es-ES"/>
        </w:rPr>
        <w:t>, que tiene</w:t>
      </w:r>
      <w:r w:rsidR="00D21D2A" w:rsidRPr="007374C4">
        <w:rPr>
          <w:b/>
          <w:sz w:val="24"/>
          <w:szCs w:val="24"/>
          <w:lang w:val="es-ES"/>
        </w:rPr>
        <w:t xml:space="preserve"> una implicación significativa a este respecto.</w:t>
      </w:r>
    </w:p>
    <w:p w14:paraId="459E4899" w14:textId="77777777" w:rsidR="00602387" w:rsidRDefault="00602387" w:rsidP="00602387">
      <w:pPr>
        <w:spacing w:after="0" w:line="276" w:lineRule="auto"/>
        <w:jc w:val="both"/>
        <w:rPr>
          <w:sz w:val="24"/>
          <w:szCs w:val="24"/>
          <w:lang w:val="es-ES"/>
        </w:rPr>
      </w:pPr>
    </w:p>
    <w:p w14:paraId="6453F005" w14:textId="77777777" w:rsidR="004E1FAA" w:rsidRDefault="004E1FAA" w:rsidP="004E1FAA">
      <w:pPr>
        <w:tabs>
          <w:tab w:val="left" w:pos="1095"/>
        </w:tabs>
        <w:spacing w:after="0" w:line="276" w:lineRule="auto"/>
        <w:jc w:val="both"/>
        <w:rPr>
          <w:sz w:val="24"/>
          <w:szCs w:val="24"/>
          <w:lang w:val="es-ES"/>
        </w:rPr>
      </w:pPr>
      <w:r>
        <w:rPr>
          <w:sz w:val="24"/>
          <w:szCs w:val="24"/>
        </w:rPr>
        <w:lastRenderedPageBreak/>
        <w:t>E</w:t>
      </w:r>
      <w:r w:rsidR="00602387" w:rsidRPr="00602387">
        <w:rPr>
          <w:sz w:val="24"/>
          <w:szCs w:val="24"/>
          <w:lang w:val="es-ES"/>
        </w:rPr>
        <w:t>l hech</w:t>
      </w:r>
      <w:r w:rsidR="00306EA9">
        <w:rPr>
          <w:sz w:val="24"/>
          <w:szCs w:val="24"/>
          <w:lang w:val="es-ES"/>
        </w:rPr>
        <w:t>o de que una media de más de 1 de cada 3</w:t>
      </w:r>
      <w:r w:rsidR="00602387" w:rsidRPr="00602387">
        <w:rPr>
          <w:sz w:val="24"/>
          <w:szCs w:val="24"/>
          <w:lang w:val="es-ES"/>
        </w:rPr>
        <w:t xml:space="preserve"> habitantes de los 57 países estudiados esté </w:t>
      </w:r>
      <w:r w:rsidR="005B7BCC" w:rsidRPr="00602387">
        <w:rPr>
          <w:sz w:val="24"/>
          <w:szCs w:val="24"/>
          <w:lang w:val="es-ES"/>
        </w:rPr>
        <w:t>dispuest</w:t>
      </w:r>
      <w:r w:rsidR="005B7BCC">
        <w:rPr>
          <w:sz w:val="24"/>
          <w:szCs w:val="24"/>
          <w:lang w:val="es-ES"/>
        </w:rPr>
        <w:t>a</w:t>
      </w:r>
      <w:r w:rsidR="00602387" w:rsidRPr="00602387">
        <w:rPr>
          <w:sz w:val="24"/>
          <w:szCs w:val="24"/>
          <w:lang w:val="es-ES"/>
        </w:rPr>
        <w:t xml:space="preserve"> a emigrar es más que significativo. </w:t>
      </w:r>
      <w:r w:rsidR="00F457A0">
        <w:rPr>
          <w:sz w:val="24"/>
          <w:szCs w:val="24"/>
        </w:rPr>
        <w:t>En</w:t>
      </w:r>
      <w:r w:rsidR="00F457A0" w:rsidRPr="00F85DC2">
        <w:rPr>
          <w:sz w:val="24"/>
          <w:szCs w:val="24"/>
        </w:rPr>
        <w:t xml:space="preserve"> tiempos de guerra y crisis económica mundial, la incertidumb</w:t>
      </w:r>
      <w:r w:rsidR="00306EA9">
        <w:rPr>
          <w:sz w:val="24"/>
          <w:szCs w:val="24"/>
        </w:rPr>
        <w:t xml:space="preserve">re aumenta y la emigración </w:t>
      </w:r>
      <w:r w:rsidR="00F457A0" w:rsidRPr="00F85DC2">
        <w:rPr>
          <w:sz w:val="24"/>
          <w:szCs w:val="24"/>
        </w:rPr>
        <w:t>se vuelve más atractiva.</w:t>
      </w:r>
      <w:r w:rsidR="00F457A0">
        <w:rPr>
          <w:sz w:val="24"/>
          <w:szCs w:val="24"/>
        </w:rPr>
        <w:t xml:space="preserve"> Obviamente </w:t>
      </w:r>
      <w:r w:rsidR="00F457A0">
        <w:rPr>
          <w:sz w:val="24"/>
          <w:szCs w:val="24"/>
          <w:lang w:val="es-ES"/>
        </w:rPr>
        <w:t>l</w:t>
      </w:r>
      <w:r w:rsidR="00602387" w:rsidRPr="00602387">
        <w:rPr>
          <w:sz w:val="24"/>
          <w:szCs w:val="24"/>
          <w:lang w:val="es-ES"/>
        </w:rPr>
        <w:t>as razones para cambiar de país de residencia son diversas</w:t>
      </w:r>
      <w:r w:rsidR="00F457A0">
        <w:rPr>
          <w:sz w:val="24"/>
          <w:szCs w:val="24"/>
          <w:lang w:val="es-ES"/>
        </w:rPr>
        <w:t xml:space="preserve">, y aunque </w:t>
      </w:r>
      <w:r w:rsidR="00602387" w:rsidRPr="00602387">
        <w:rPr>
          <w:sz w:val="24"/>
          <w:szCs w:val="24"/>
          <w:lang w:val="es-ES"/>
        </w:rPr>
        <w:t xml:space="preserve">las circunstancias económicas dominan la decisión, no son ni mucho menos las únicas. De hecho, parece que una identidad cultural muy fuerte es el factor más poderoso para lo contrario: no emigrar. </w:t>
      </w:r>
      <w:r w:rsidR="00602387" w:rsidRPr="001E253F">
        <w:rPr>
          <w:sz w:val="24"/>
          <w:szCs w:val="24"/>
          <w:lang w:val="es-ES"/>
        </w:rPr>
        <w:t>Por eso registramos unos niveles significativamente más bajos de tales in</w:t>
      </w:r>
      <w:r w:rsidR="00306EA9" w:rsidRPr="001E253F">
        <w:rPr>
          <w:sz w:val="24"/>
          <w:szCs w:val="24"/>
          <w:lang w:val="es-ES"/>
        </w:rPr>
        <w:t xml:space="preserve">tenciones en países como India, </w:t>
      </w:r>
      <w:r w:rsidR="00602387" w:rsidRPr="001E253F">
        <w:rPr>
          <w:sz w:val="24"/>
          <w:szCs w:val="24"/>
          <w:lang w:val="es-ES"/>
        </w:rPr>
        <w:t>V</w:t>
      </w:r>
      <w:r w:rsidR="00306EA9" w:rsidRPr="001E253F">
        <w:rPr>
          <w:sz w:val="24"/>
          <w:szCs w:val="24"/>
          <w:lang w:val="es-ES"/>
        </w:rPr>
        <w:t xml:space="preserve">ietnam y </w:t>
      </w:r>
      <w:r w:rsidR="00602387" w:rsidRPr="001E253F">
        <w:rPr>
          <w:sz w:val="24"/>
          <w:szCs w:val="24"/>
          <w:lang w:val="es-ES"/>
        </w:rPr>
        <w:t>Japón</w:t>
      </w:r>
      <w:r w:rsidR="00D66211" w:rsidRPr="001E253F">
        <w:rPr>
          <w:sz w:val="24"/>
          <w:szCs w:val="24"/>
          <w:lang w:val="es-ES"/>
        </w:rPr>
        <w:t>.</w:t>
      </w:r>
    </w:p>
    <w:p w14:paraId="032BD2E0" w14:textId="77777777" w:rsidR="009B678F" w:rsidRDefault="009B678F" w:rsidP="009B678F">
      <w:pPr>
        <w:pStyle w:val="NormalWeb"/>
        <w:spacing w:before="0" w:beforeAutospacing="0" w:after="0" w:afterAutospacing="0" w:line="276" w:lineRule="auto"/>
        <w:jc w:val="both"/>
        <w:rPr>
          <w:rFonts w:asciiTheme="minorHAnsi" w:eastAsiaTheme="minorHAnsi" w:hAnsiTheme="minorHAnsi" w:cstheme="minorBidi"/>
          <w:kern w:val="2"/>
          <w:lang w:eastAsia="en-US"/>
          <w14:ligatures w14:val="standardContextual"/>
        </w:rPr>
      </w:pPr>
    </w:p>
    <w:p w14:paraId="434593CC" w14:textId="77777777" w:rsidR="009F7A2B" w:rsidRDefault="009F7A2B" w:rsidP="007F44CE">
      <w:pPr>
        <w:tabs>
          <w:tab w:val="left" w:pos="1095"/>
        </w:tabs>
        <w:spacing w:after="0" w:line="276" w:lineRule="auto"/>
        <w:jc w:val="both"/>
        <w:rPr>
          <w:b/>
          <w:sz w:val="24"/>
          <w:szCs w:val="24"/>
          <w:lang w:val="es-ES"/>
        </w:rPr>
      </w:pPr>
      <w:r>
        <w:rPr>
          <w:b/>
          <w:sz w:val="24"/>
          <w:szCs w:val="24"/>
          <w:lang w:val="es-ES"/>
        </w:rPr>
        <w:t>LOS DATOS DE ARGENTINA</w:t>
      </w:r>
    </w:p>
    <w:p w14:paraId="5F43CA55" w14:textId="77777777" w:rsidR="009F7A2B" w:rsidRDefault="009F7A2B" w:rsidP="007F44CE">
      <w:pPr>
        <w:tabs>
          <w:tab w:val="left" w:pos="1095"/>
        </w:tabs>
        <w:spacing w:after="0" w:line="276" w:lineRule="auto"/>
        <w:jc w:val="both"/>
        <w:rPr>
          <w:b/>
          <w:sz w:val="24"/>
          <w:szCs w:val="24"/>
          <w:lang w:val="es-ES"/>
        </w:rPr>
      </w:pPr>
    </w:p>
    <w:p w14:paraId="46B60BD3" w14:textId="77777777" w:rsidR="003C45C9" w:rsidRDefault="0074531C" w:rsidP="007F44CE">
      <w:pPr>
        <w:tabs>
          <w:tab w:val="left" w:pos="1095"/>
        </w:tabs>
        <w:spacing w:after="0" w:line="276" w:lineRule="auto"/>
        <w:jc w:val="both"/>
        <w:rPr>
          <w:sz w:val="24"/>
          <w:szCs w:val="24"/>
          <w:lang w:val="es-ES"/>
        </w:rPr>
      </w:pPr>
      <w:r w:rsidRPr="007374C4">
        <w:rPr>
          <w:b/>
          <w:sz w:val="24"/>
          <w:szCs w:val="24"/>
          <w:lang w:val="es-ES"/>
        </w:rPr>
        <w:t>Argentina</w:t>
      </w:r>
      <w:r w:rsidR="00396416" w:rsidRPr="007374C4">
        <w:rPr>
          <w:b/>
          <w:sz w:val="24"/>
          <w:szCs w:val="24"/>
          <w:lang w:val="es-ES"/>
        </w:rPr>
        <w:t>,</w:t>
      </w:r>
      <w:r w:rsidR="00396416">
        <w:rPr>
          <w:sz w:val="24"/>
          <w:szCs w:val="24"/>
          <w:lang w:val="es-ES"/>
        </w:rPr>
        <w:t xml:space="preserve"> junto con Filipinas</w:t>
      </w:r>
      <w:r w:rsidR="00602387">
        <w:rPr>
          <w:sz w:val="24"/>
          <w:szCs w:val="24"/>
          <w:lang w:val="es-ES"/>
        </w:rPr>
        <w:t xml:space="preserve"> (y luego de los 3 países del </w:t>
      </w:r>
      <w:r w:rsidR="00693258">
        <w:rPr>
          <w:sz w:val="24"/>
          <w:szCs w:val="24"/>
          <w:lang w:val="es-ES"/>
        </w:rPr>
        <w:t>África</w:t>
      </w:r>
      <w:r w:rsidR="00602387">
        <w:rPr>
          <w:sz w:val="24"/>
          <w:szCs w:val="24"/>
          <w:lang w:val="es-ES"/>
        </w:rPr>
        <w:t xml:space="preserve"> </w:t>
      </w:r>
      <w:r w:rsidR="00693258" w:rsidRPr="00F15C57">
        <w:rPr>
          <w:sz w:val="24"/>
          <w:szCs w:val="24"/>
          <w:lang w:val="es-ES"/>
        </w:rPr>
        <w:t>Subsahariana</w:t>
      </w:r>
      <w:r w:rsidR="00602387">
        <w:rPr>
          <w:sz w:val="24"/>
          <w:szCs w:val="24"/>
          <w:lang w:val="es-ES"/>
        </w:rPr>
        <w:t xml:space="preserve"> ya mencionados)</w:t>
      </w:r>
      <w:r w:rsidR="00396416">
        <w:rPr>
          <w:sz w:val="24"/>
          <w:szCs w:val="24"/>
          <w:lang w:val="es-ES"/>
        </w:rPr>
        <w:t xml:space="preserve">, </w:t>
      </w:r>
      <w:r w:rsidR="00396416" w:rsidRPr="007374C4">
        <w:rPr>
          <w:b/>
          <w:sz w:val="24"/>
          <w:szCs w:val="24"/>
          <w:lang w:val="es-ES"/>
        </w:rPr>
        <w:t xml:space="preserve">se encuentra en el top 5 </w:t>
      </w:r>
      <w:r w:rsidR="00E15196" w:rsidRPr="007374C4">
        <w:rPr>
          <w:b/>
          <w:sz w:val="24"/>
          <w:szCs w:val="24"/>
          <w:lang w:val="es-ES"/>
        </w:rPr>
        <w:t>en el ranking de países cuyos ciudadanos preferirían vivir en otro país</w:t>
      </w:r>
      <w:r w:rsidR="00E15196">
        <w:rPr>
          <w:sz w:val="24"/>
          <w:szCs w:val="24"/>
          <w:lang w:val="es-ES"/>
        </w:rPr>
        <w:t>.</w:t>
      </w:r>
      <w:r w:rsidR="00396416">
        <w:rPr>
          <w:sz w:val="24"/>
          <w:szCs w:val="24"/>
          <w:lang w:val="es-ES"/>
        </w:rPr>
        <w:t xml:space="preserve"> </w:t>
      </w:r>
      <w:r w:rsidR="00E15196">
        <w:rPr>
          <w:sz w:val="24"/>
          <w:szCs w:val="24"/>
          <w:lang w:val="es-ES"/>
        </w:rPr>
        <w:t xml:space="preserve">Con un 54% de menciones afirmativas, </w:t>
      </w:r>
      <w:r w:rsidR="00396416">
        <w:rPr>
          <w:sz w:val="24"/>
          <w:szCs w:val="24"/>
          <w:lang w:val="es-ES"/>
        </w:rPr>
        <w:t xml:space="preserve">nuestro país </w:t>
      </w:r>
      <w:r w:rsidR="00E15196">
        <w:rPr>
          <w:sz w:val="24"/>
          <w:szCs w:val="24"/>
          <w:lang w:val="es-ES"/>
        </w:rPr>
        <w:t xml:space="preserve">supera por lejos al promedio </w:t>
      </w:r>
      <w:r w:rsidR="008816C2" w:rsidRPr="00B04370">
        <w:rPr>
          <w:sz w:val="24"/>
          <w:szCs w:val="24"/>
          <w:lang w:val="es-ES"/>
        </w:rPr>
        <w:t>global</w:t>
      </w:r>
      <w:r w:rsidR="00DA7868" w:rsidRPr="00B04370">
        <w:rPr>
          <w:sz w:val="24"/>
          <w:szCs w:val="24"/>
          <w:lang w:val="es-ES"/>
        </w:rPr>
        <w:t xml:space="preserve"> (36%)</w:t>
      </w:r>
      <w:r w:rsidR="00EB2DAA">
        <w:rPr>
          <w:sz w:val="24"/>
          <w:szCs w:val="24"/>
          <w:lang w:val="es-ES"/>
        </w:rPr>
        <w:t xml:space="preserve"> </w:t>
      </w:r>
    </w:p>
    <w:p w14:paraId="50F07B89" w14:textId="77777777" w:rsidR="007374C4" w:rsidRDefault="007374C4" w:rsidP="007F44CE">
      <w:pPr>
        <w:tabs>
          <w:tab w:val="left" w:pos="1095"/>
        </w:tabs>
        <w:spacing w:after="0" w:line="276" w:lineRule="auto"/>
        <w:jc w:val="both"/>
        <w:rPr>
          <w:sz w:val="24"/>
          <w:szCs w:val="24"/>
        </w:rPr>
      </w:pPr>
    </w:p>
    <w:p w14:paraId="34C02776" w14:textId="77777777" w:rsidR="00EB2DAA" w:rsidRDefault="00D40D8A" w:rsidP="007F44CE">
      <w:pPr>
        <w:tabs>
          <w:tab w:val="left" w:pos="1095"/>
        </w:tabs>
        <w:spacing w:after="0" w:line="276" w:lineRule="auto"/>
        <w:jc w:val="both"/>
        <w:rPr>
          <w:sz w:val="24"/>
          <w:szCs w:val="24"/>
          <w:lang w:val="es-ES"/>
        </w:rPr>
      </w:pPr>
      <w:r>
        <w:rPr>
          <w:sz w:val="24"/>
          <w:szCs w:val="24"/>
          <w:lang w:val="es-ES"/>
        </w:rPr>
        <w:t xml:space="preserve">Al analizar los resultados argentinos según los segmentos etarios vemos que </w:t>
      </w:r>
      <w:r w:rsidR="006E42AC">
        <w:rPr>
          <w:sz w:val="24"/>
          <w:szCs w:val="24"/>
          <w:lang w:val="es-ES"/>
        </w:rPr>
        <w:t xml:space="preserve">hay una marcada diferencia entre los jóvenes y los adultos mayores en cuanto a la disposición a </w:t>
      </w:r>
      <w:r w:rsidR="00416D2C">
        <w:rPr>
          <w:sz w:val="24"/>
          <w:szCs w:val="24"/>
          <w:lang w:val="es-ES"/>
        </w:rPr>
        <w:t>abandonar el país.</w:t>
      </w:r>
      <w:r w:rsidR="006E42AC">
        <w:rPr>
          <w:sz w:val="24"/>
          <w:szCs w:val="24"/>
          <w:lang w:val="es-ES"/>
        </w:rPr>
        <w:t xml:space="preserve"> </w:t>
      </w:r>
      <w:r w:rsidR="006E42AC" w:rsidRPr="005371D3">
        <w:rPr>
          <w:b/>
          <w:sz w:val="24"/>
          <w:szCs w:val="24"/>
          <w:lang w:val="es-ES"/>
        </w:rPr>
        <w:t>Las menciones positivas crecen a medida que disminuye la edad</w:t>
      </w:r>
      <w:r w:rsidR="006E42AC">
        <w:rPr>
          <w:sz w:val="24"/>
          <w:szCs w:val="24"/>
          <w:lang w:val="es-ES"/>
        </w:rPr>
        <w:t xml:space="preserve">: </w:t>
      </w:r>
      <w:r w:rsidR="006E42AC" w:rsidRPr="009F7A2B">
        <w:rPr>
          <w:b/>
          <w:sz w:val="24"/>
          <w:szCs w:val="24"/>
          <w:lang w:val="es-ES"/>
        </w:rPr>
        <w:t>m</w:t>
      </w:r>
      <w:r w:rsidR="00E15196" w:rsidRPr="009F7A2B">
        <w:rPr>
          <w:b/>
          <w:sz w:val="24"/>
          <w:szCs w:val="24"/>
          <w:lang w:val="es-ES"/>
        </w:rPr>
        <w:t xml:space="preserve">ientras </w:t>
      </w:r>
      <w:r w:rsidR="00DA7868" w:rsidRPr="009F7A2B">
        <w:rPr>
          <w:b/>
          <w:sz w:val="24"/>
          <w:szCs w:val="24"/>
          <w:lang w:val="es-ES"/>
        </w:rPr>
        <w:t xml:space="preserve">que </w:t>
      </w:r>
      <w:r w:rsidR="006E42AC" w:rsidRPr="009F7A2B">
        <w:rPr>
          <w:b/>
          <w:sz w:val="24"/>
          <w:szCs w:val="24"/>
          <w:lang w:val="es-ES"/>
        </w:rPr>
        <w:t xml:space="preserve">solo </w:t>
      </w:r>
      <w:r w:rsidR="00E15196" w:rsidRPr="009F7A2B">
        <w:rPr>
          <w:b/>
          <w:sz w:val="24"/>
          <w:szCs w:val="24"/>
          <w:lang w:val="es-ES"/>
        </w:rPr>
        <w:t>el 36% de los mayores de 65 años dice</w:t>
      </w:r>
      <w:r w:rsidR="006E42AC" w:rsidRPr="009F7A2B">
        <w:rPr>
          <w:b/>
          <w:sz w:val="24"/>
          <w:szCs w:val="24"/>
          <w:lang w:val="es-ES"/>
        </w:rPr>
        <w:t xml:space="preserve"> </w:t>
      </w:r>
      <w:r w:rsidR="00E15196" w:rsidRPr="009F7A2B">
        <w:rPr>
          <w:b/>
          <w:sz w:val="24"/>
          <w:szCs w:val="24"/>
          <w:lang w:val="es-ES"/>
        </w:rPr>
        <w:t>que le gustaría vivir en otro país si le dieran</w:t>
      </w:r>
      <w:r w:rsidR="006E42AC" w:rsidRPr="009F7A2B">
        <w:rPr>
          <w:b/>
          <w:sz w:val="24"/>
          <w:szCs w:val="24"/>
          <w:lang w:val="es-ES"/>
        </w:rPr>
        <w:t xml:space="preserve"> todos</w:t>
      </w:r>
      <w:r w:rsidR="00E15196" w:rsidRPr="009F7A2B">
        <w:rPr>
          <w:b/>
          <w:sz w:val="24"/>
          <w:szCs w:val="24"/>
          <w:lang w:val="es-ES"/>
        </w:rPr>
        <w:t xml:space="preserve"> los papeles necesarios, el porcentaje se dispara a 64% entre los jóvenes de 16 a 24 años</w:t>
      </w:r>
      <w:r w:rsidR="0063466F" w:rsidRPr="009F7A2B">
        <w:rPr>
          <w:b/>
          <w:sz w:val="24"/>
          <w:szCs w:val="24"/>
          <w:lang w:val="es-ES"/>
        </w:rPr>
        <w:t xml:space="preserve"> y a 61% en el rango etario de </w:t>
      </w:r>
      <w:r w:rsidR="00E15196" w:rsidRPr="009F7A2B">
        <w:rPr>
          <w:b/>
          <w:sz w:val="24"/>
          <w:szCs w:val="24"/>
          <w:lang w:val="es-ES"/>
        </w:rPr>
        <w:t xml:space="preserve">25 a </w:t>
      </w:r>
      <w:r w:rsidR="0063466F" w:rsidRPr="009F7A2B">
        <w:rPr>
          <w:b/>
          <w:sz w:val="24"/>
          <w:szCs w:val="24"/>
          <w:lang w:val="es-ES"/>
        </w:rPr>
        <w:t>34.</w:t>
      </w:r>
      <w:r w:rsidR="00E15196">
        <w:rPr>
          <w:sz w:val="24"/>
          <w:szCs w:val="24"/>
          <w:lang w:val="es-ES"/>
        </w:rPr>
        <w:t xml:space="preserve"> </w:t>
      </w:r>
      <w:r w:rsidR="00D21D2A">
        <w:rPr>
          <w:sz w:val="24"/>
          <w:szCs w:val="24"/>
          <w:lang w:val="es-ES"/>
        </w:rPr>
        <w:t xml:space="preserve">Aunque esta tendencia se da también a nivel global, la proporción de jóvenes </w:t>
      </w:r>
      <w:r>
        <w:rPr>
          <w:sz w:val="24"/>
          <w:szCs w:val="24"/>
          <w:lang w:val="es-ES"/>
        </w:rPr>
        <w:t xml:space="preserve">argentinos </w:t>
      </w:r>
      <w:r w:rsidR="00D21D2A">
        <w:rPr>
          <w:sz w:val="24"/>
          <w:szCs w:val="24"/>
          <w:lang w:val="es-ES"/>
        </w:rPr>
        <w:t>de 16 a 34 años que preferirían vivir en otro país</w:t>
      </w:r>
      <w:r w:rsidR="00EB2DAA">
        <w:rPr>
          <w:sz w:val="24"/>
          <w:szCs w:val="24"/>
          <w:lang w:val="es-ES"/>
        </w:rPr>
        <w:t xml:space="preserve"> </w:t>
      </w:r>
      <w:r w:rsidR="00D21D2A">
        <w:rPr>
          <w:sz w:val="24"/>
          <w:szCs w:val="24"/>
          <w:lang w:val="es-ES"/>
        </w:rPr>
        <w:t xml:space="preserve">supera ampliamente a la media global del mismo segmento </w:t>
      </w:r>
      <w:r w:rsidR="00D21D2A" w:rsidRPr="00D21D2A">
        <w:rPr>
          <w:sz w:val="24"/>
          <w:szCs w:val="24"/>
          <w:lang w:val="es-ES"/>
        </w:rPr>
        <w:t>etario</w:t>
      </w:r>
      <w:r w:rsidR="00727EFC" w:rsidRPr="00D21D2A">
        <w:rPr>
          <w:sz w:val="24"/>
          <w:szCs w:val="24"/>
          <w:lang w:val="es-ES"/>
        </w:rPr>
        <w:t xml:space="preserve"> (62% </w:t>
      </w:r>
      <w:r w:rsidR="00D21D2A" w:rsidRPr="00D21D2A">
        <w:rPr>
          <w:sz w:val="24"/>
          <w:szCs w:val="24"/>
          <w:lang w:val="es-ES"/>
        </w:rPr>
        <w:t xml:space="preserve">en nuestro país </w:t>
      </w:r>
      <w:r w:rsidR="00727EFC" w:rsidRPr="00D21D2A">
        <w:rPr>
          <w:sz w:val="24"/>
          <w:szCs w:val="24"/>
          <w:lang w:val="es-ES"/>
        </w:rPr>
        <w:t>versus 44% global).</w:t>
      </w:r>
      <w:r w:rsidR="003C45C9">
        <w:rPr>
          <w:sz w:val="24"/>
          <w:szCs w:val="24"/>
          <w:lang w:val="es-ES"/>
        </w:rPr>
        <w:t xml:space="preserve"> En el 2021 eran 7 de cada 10 los jóvenes</w:t>
      </w:r>
      <w:r w:rsidR="00EB2DAA">
        <w:rPr>
          <w:sz w:val="24"/>
          <w:szCs w:val="24"/>
          <w:lang w:val="es-ES"/>
        </w:rPr>
        <w:t xml:space="preserve"> </w:t>
      </w:r>
      <w:r w:rsidR="005371D3">
        <w:rPr>
          <w:sz w:val="24"/>
          <w:szCs w:val="24"/>
          <w:lang w:val="es-ES"/>
        </w:rPr>
        <w:t xml:space="preserve">de nuestro país </w:t>
      </w:r>
      <w:r w:rsidR="00EB2DAA">
        <w:rPr>
          <w:sz w:val="24"/>
          <w:szCs w:val="24"/>
          <w:lang w:val="es-ES"/>
        </w:rPr>
        <w:t>que afirmaban</w:t>
      </w:r>
      <w:r w:rsidR="003C45C9">
        <w:rPr>
          <w:sz w:val="24"/>
          <w:szCs w:val="24"/>
          <w:lang w:val="es-ES"/>
        </w:rPr>
        <w:t xml:space="preserve"> que les gustaría vivir en un país que no fuera Argentina. </w:t>
      </w:r>
      <w:r w:rsidR="00EB2DAA">
        <w:rPr>
          <w:sz w:val="24"/>
          <w:szCs w:val="24"/>
          <w:lang w:val="es-ES"/>
        </w:rPr>
        <w:t xml:space="preserve">El número disminuyó levemente, </w:t>
      </w:r>
      <w:r w:rsidR="007374C4">
        <w:rPr>
          <w:sz w:val="24"/>
          <w:szCs w:val="24"/>
          <w:lang w:val="es-ES"/>
        </w:rPr>
        <w:t xml:space="preserve">hay que seguir investigando para ver </w:t>
      </w:r>
      <w:r w:rsidR="00D66211">
        <w:rPr>
          <w:sz w:val="24"/>
          <w:szCs w:val="24"/>
          <w:lang w:val="es-ES"/>
        </w:rPr>
        <w:t>cómo</w:t>
      </w:r>
      <w:r w:rsidR="007374C4">
        <w:rPr>
          <w:sz w:val="24"/>
          <w:szCs w:val="24"/>
          <w:lang w:val="es-ES"/>
        </w:rPr>
        <w:t xml:space="preserve"> se comporta esta cifra a futuro, </w:t>
      </w:r>
      <w:r w:rsidR="00EB2DAA">
        <w:rPr>
          <w:sz w:val="24"/>
          <w:szCs w:val="24"/>
          <w:lang w:val="es-ES"/>
        </w:rPr>
        <w:t>pero sigue siendo muy significativo.</w:t>
      </w:r>
    </w:p>
    <w:p w14:paraId="4AB6BAE6" w14:textId="77777777" w:rsidR="00EB2DAA" w:rsidRPr="00D21D2A" w:rsidRDefault="00EB2DAA" w:rsidP="007F44CE">
      <w:pPr>
        <w:tabs>
          <w:tab w:val="left" w:pos="1095"/>
        </w:tabs>
        <w:spacing w:after="0" w:line="276" w:lineRule="auto"/>
        <w:jc w:val="both"/>
        <w:rPr>
          <w:sz w:val="24"/>
          <w:szCs w:val="24"/>
          <w:lang w:val="es-ES"/>
        </w:rPr>
      </w:pPr>
    </w:p>
    <w:p w14:paraId="5F2CEC02" w14:textId="77777777" w:rsidR="008073D8" w:rsidRPr="00B04370" w:rsidRDefault="008073D8" w:rsidP="007F44CE">
      <w:pPr>
        <w:tabs>
          <w:tab w:val="left" w:pos="1095"/>
        </w:tabs>
        <w:spacing w:after="0" w:line="276" w:lineRule="auto"/>
        <w:jc w:val="center"/>
        <w:rPr>
          <w:noProof/>
          <w:sz w:val="20"/>
          <w:szCs w:val="20"/>
        </w:rPr>
      </w:pPr>
      <w:r w:rsidRPr="00C62F7D">
        <w:rPr>
          <w:rFonts w:cstheme="minorHAnsi"/>
          <w:b/>
          <w:bCs/>
          <w:color w:val="000000"/>
          <w:shd w:val="clear" w:color="auto" w:fill="FFFFFF"/>
        </w:rPr>
        <w:t xml:space="preserve">Si le dieran todos los papeles necesarios, ¿le gustaría vivir en otro país o preferiría quedarse </w:t>
      </w:r>
      <w:r w:rsidR="007374C4" w:rsidRPr="00C62F7D">
        <w:rPr>
          <w:rFonts w:cstheme="minorHAnsi"/>
          <w:b/>
          <w:bCs/>
          <w:color w:val="000000"/>
          <w:shd w:val="clear" w:color="auto" w:fill="FFFFFF"/>
        </w:rPr>
        <w:t>dónde</w:t>
      </w:r>
      <w:r w:rsidRPr="00C62F7D">
        <w:rPr>
          <w:rFonts w:cstheme="minorHAnsi"/>
          <w:b/>
          <w:bCs/>
          <w:color w:val="000000"/>
          <w:shd w:val="clear" w:color="auto" w:fill="FFFFFF"/>
        </w:rPr>
        <w:t xml:space="preserve"> está?</w:t>
      </w:r>
      <w:r w:rsidRPr="00C62F7D">
        <w:rPr>
          <w:noProof/>
        </w:rPr>
        <w:t xml:space="preserve"> </w:t>
      </w:r>
    </w:p>
    <w:p w14:paraId="5966FC7D" w14:textId="77777777" w:rsidR="00514AA8" w:rsidRDefault="00DA7868" w:rsidP="007F44CE">
      <w:pPr>
        <w:tabs>
          <w:tab w:val="left" w:pos="1095"/>
        </w:tabs>
        <w:spacing w:after="0" w:line="276" w:lineRule="auto"/>
        <w:jc w:val="center"/>
        <w:rPr>
          <w:b/>
          <w:noProof/>
        </w:rPr>
      </w:pPr>
      <w:r w:rsidRPr="00B04370">
        <w:rPr>
          <w:b/>
          <w:noProof/>
        </w:rPr>
        <w:t>POR EDAD</w:t>
      </w:r>
    </w:p>
    <w:p w14:paraId="5EF13999" w14:textId="794816E0" w:rsidR="003C45C9" w:rsidRDefault="003C45C9" w:rsidP="007F44CE">
      <w:pPr>
        <w:tabs>
          <w:tab w:val="left" w:pos="1095"/>
        </w:tabs>
        <w:spacing w:after="0" w:line="276" w:lineRule="auto"/>
        <w:jc w:val="center"/>
        <w:rPr>
          <w:b/>
          <w:noProof/>
        </w:rPr>
      </w:pPr>
    </w:p>
    <w:p w14:paraId="673B9BE4" w14:textId="07AF2FA9" w:rsidR="008073D8" w:rsidRPr="00D21D2A" w:rsidRDefault="00E33D52" w:rsidP="007F44CE">
      <w:pPr>
        <w:tabs>
          <w:tab w:val="left" w:pos="1095"/>
        </w:tabs>
        <w:spacing w:after="0" w:line="276" w:lineRule="auto"/>
        <w:jc w:val="center"/>
        <w:rPr>
          <w:b/>
          <w:noProof/>
        </w:rPr>
      </w:pPr>
      <w:r>
        <w:rPr>
          <w:b/>
          <w:noProof/>
          <w:lang w:val="en-US"/>
        </w:rPr>
        <w:drawing>
          <wp:inline distT="0" distB="0" distL="0" distR="0" wp14:anchorId="201A7AA3" wp14:editId="722391D1">
            <wp:extent cx="4448175" cy="2893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5388" cy="298931"/>
                    </a:xfrm>
                    <a:prstGeom prst="rect">
                      <a:avLst/>
                    </a:prstGeom>
                    <a:noFill/>
                  </pic:spPr>
                </pic:pic>
              </a:graphicData>
            </a:graphic>
          </wp:inline>
        </w:drawing>
      </w:r>
    </w:p>
    <w:p w14:paraId="74D85696" w14:textId="77777777" w:rsidR="008073D8" w:rsidRDefault="00514AA8" w:rsidP="007F44CE">
      <w:pPr>
        <w:spacing w:after="0" w:line="276" w:lineRule="auto"/>
        <w:jc w:val="center"/>
        <w:rPr>
          <w:sz w:val="24"/>
          <w:szCs w:val="24"/>
          <w:lang w:val="es-ES"/>
        </w:rPr>
      </w:pPr>
      <w:r w:rsidRPr="00514AA8">
        <w:rPr>
          <w:noProof/>
          <w:sz w:val="24"/>
          <w:szCs w:val="24"/>
          <w:lang w:val="en-US"/>
        </w:rPr>
        <w:drawing>
          <wp:inline distT="0" distB="0" distL="0" distR="0" wp14:anchorId="53FD4AA4" wp14:editId="0CFD5ADB">
            <wp:extent cx="4857750" cy="2000250"/>
            <wp:effectExtent l="0" t="0" r="0" b="0"/>
            <wp:docPr id="983412111" name="Gráfico 1">
              <a:extLst xmlns:a="http://schemas.openxmlformats.org/drawingml/2006/main">
                <a:ext uri="{FF2B5EF4-FFF2-40B4-BE49-F238E27FC236}">
                  <a16:creationId xmlns:a16="http://schemas.microsoft.com/office/drawing/2014/main" id="{420FB1D8-9F32-81EF-0FFA-2BBF2C4B04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C29EF2" w14:textId="3EEEC091" w:rsidR="007374C4" w:rsidRPr="00E33D52" w:rsidRDefault="008073D8" w:rsidP="00E33D52">
      <w:pPr>
        <w:pStyle w:val="NormalWeb"/>
        <w:pBdr>
          <w:top w:val="single" w:sz="4" w:space="1" w:color="000000"/>
        </w:pBdr>
        <w:spacing w:before="0" w:beforeAutospacing="0" w:after="0" w:afterAutospacing="0" w:line="276" w:lineRule="auto"/>
      </w:pPr>
      <w:r>
        <w:rPr>
          <w:rFonts w:ascii="Calibri" w:hAnsi="Calibri" w:cs="Calibri"/>
          <w:color w:val="000000"/>
          <w:sz w:val="18"/>
          <w:szCs w:val="18"/>
        </w:rPr>
        <w:t xml:space="preserve">Fuente: Encuesta Global. VOICES! en Argentina. </w:t>
      </w:r>
    </w:p>
    <w:p w14:paraId="1A588DB9" w14:textId="77777777" w:rsidR="00416D2C" w:rsidRDefault="00D40D8A" w:rsidP="00C62F7D">
      <w:pPr>
        <w:spacing w:after="0" w:line="276" w:lineRule="auto"/>
        <w:jc w:val="both"/>
        <w:rPr>
          <w:sz w:val="24"/>
          <w:szCs w:val="24"/>
          <w:lang w:val="es-ES"/>
        </w:rPr>
      </w:pPr>
      <w:r>
        <w:rPr>
          <w:sz w:val="24"/>
          <w:szCs w:val="24"/>
          <w:lang w:val="es-ES"/>
        </w:rPr>
        <w:lastRenderedPageBreak/>
        <w:t>E</w:t>
      </w:r>
      <w:r w:rsidR="00727EFC">
        <w:rPr>
          <w:sz w:val="24"/>
          <w:szCs w:val="24"/>
          <w:lang w:val="es-ES"/>
        </w:rPr>
        <w:t>l</w:t>
      </w:r>
      <w:r w:rsidR="00FF3276">
        <w:rPr>
          <w:sz w:val="24"/>
          <w:szCs w:val="24"/>
          <w:lang w:val="es-ES"/>
        </w:rPr>
        <w:t xml:space="preserve"> sondeo de </w:t>
      </w:r>
      <w:r w:rsidR="00727EFC">
        <w:rPr>
          <w:sz w:val="24"/>
          <w:szCs w:val="24"/>
          <w:lang w:val="es-ES"/>
        </w:rPr>
        <w:t>Voices</w:t>
      </w:r>
      <w:r w:rsidR="00EB2DAA">
        <w:rPr>
          <w:sz w:val="24"/>
          <w:szCs w:val="24"/>
          <w:lang w:val="es-ES"/>
        </w:rPr>
        <w:t>!</w:t>
      </w:r>
      <w:r w:rsidR="00727EFC">
        <w:rPr>
          <w:sz w:val="24"/>
          <w:szCs w:val="24"/>
          <w:lang w:val="es-ES"/>
        </w:rPr>
        <w:t xml:space="preserve"> </w:t>
      </w:r>
      <w:r w:rsidR="00E31216">
        <w:rPr>
          <w:sz w:val="24"/>
          <w:szCs w:val="24"/>
          <w:lang w:val="es-ES"/>
        </w:rPr>
        <w:t xml:space="preserve">evidencia </w:t>
      </w:r>
      <w:r w:rsidR="00727EFC">
        <w:rPr>
          <w:sz w:val="24"/>
          <w:szCs w:val="24"/>
          <w:lang w:val="es-ES"/>
        </w:rPr>
        <w:t xml:space="preserve">que la preferencia por irse o quedarse </w:t>
      </w:r>
      <w:r w:rsidR="00E31216">
        <w:rPr>
          <w:sz w:val="24"/>
          <w:szCs w:val="24"/>
          <w:lang w:val="es-ES"/>
        </w:rPr>
        <w:t>en</w:t>
      </w:r>
      <w:r w:rsidR="00727EFC">
        <w:rPr>
          <w:sz w:val="24"/>
          <w:szCs w:val="24"/>
          <w:lang w:val="es-ES"/>
        </w:rPr>
        <w:t xml:space="preserve"> Argentina difiere levemente</w:t>
      </w:r>
      <w:r w:rsidR="00E31216">
        <w:rPr>
          <w:sz w:val="24"/>
          <w:szCs w:val="24"/>
          <w:lang w:val="es-ES"/>
        </w:rPr>
        <w:t xml:space="preserve"> según la zona de residencia. </w:t>
      </w:r>
      <w:r w:rsidR="00602387">
        <w:rPr>
          <w:sz w:val="24"/>
          <w:szCs w:val="24"/>
          <w:lang w:val="es-ES"/>
        </w:rPr>
        <w:t xml:space="preserve">Un 58% de los ciudadanos de CABA </w:t>
      </w:r>
      <w:r w:rsidR="00E31216">
        <w:rPr>
          <w:sz w:val="24"/>
          <w:szCs w:val="24"/>
          <w:lang w:val="es-ES"/>
        </w:rPr>
        <w:t xml:space="preserve">preferirían vivir en otro país en caso de obtener los papeles, versus un 53% de residentes del interior del país. </w:t>
      </w:r>
      <w:r w:rsidR="00C62F7D">
        <w:rPr>
          <w:sz w:val="24"/>
          <w:szCs w:val="24"/>
          <w:lang w:val="es-ES"/>
        </w:rPr>
        <w:t xml:space="preserve">Asimismo, con un 56% de menciones, aquellos con educación secundaria se muestran más dispuestos a abandonar el país que los de educación primaria (52%) y superior (50%).  </w:t>
      </w:r>
    </w:p>
    <w:p w14:paraId="5241A396" w14:textId="77777777" w:rsidR="00A62858" w:rsidRDefault="00A62858" w:rsidP="007F44CE">
      <w:pPr>
        <w:pStyle w:val="NormalWeb"/>
        <w:spacing w:before="0" w:beforeAutospacing="0" w:after="0" w:afterAutospacing="0" w:line="276" w:lineRule="auto"/>
        <w:jc w:val="both"/>
        <w:rPr>
          <w:rFonts w:ascii="Calibri" w:hAnsi="Calibri" w:cs="Calibri"/>
          <w:b/>
          <w:bCs/>
        </w:rPr>
      </w:pPr>
    </w:p>
    <w:p w14:paraId="3B2D7FDE" w14:textId="77777777" w:rsidR="00D40D8A" w:rsidRPr="00C62F7D" w:rsidRDefault="00D40D8A" w:rsidP="00D40D8A">
      <w:pPr>
        <w:tabs>
          <w:tab w:val="left" w:pos="1095"/>
        </w:tabs>
        <w:spacing w:after="0" w:line="276" w:lineRule="auto"/>
        <w:jc w:val="both"/>
        <w:rPr>
          <w:sz w:val="24"/>
          <w:szCs w:val="24"/>
        </w:rPr>
      </w:pPr>
      <w:r w:rsidRPr="00C62F7D">
        <w:rPr>
          <w:sz w:val="24"/>
          <w:szCs w:val="24"/>
        </w:rPr>
        <w:t xml:space="preserve">El análisis de este indicador a lo largo de los años también nos dice mucho. </w:t>
      </w:r>
      <w:r w:rsidRPr="005371D3">
        <w:rPr>
          <w:b/>
          <w:sz w:val="24"/>
          <w:szCs w:val="24"/>
        </w:rPr>
        <w:t>El equipo de Voices! mide el interés de la población por vivir en otro país desde hace 35 años</w:t>
      </w:r>
      <w:r w:rsidRPr="00C62F7D">
        <w:rPr>
          <w:sz w:val="24"/>
          <w:szCs w:val="24"/>
        </w:rPr>
        <w:t>. La pregunta de este año tuvo el agregado de</w:t>
      </w:r>
      <w:r>
        <w:rPr>
          <w:sz w:val="24"/>
          <w:szCs w:val="24"/>
        </w:rPr>
        <w:t xml:space="preserve"> consultar</w:t>
      </w:r>
      <w:r w:rsidRPr="00C62F7D">
        <w:rPr>
          <w:sz w:val="24"/>
          <w:szCs w:val="24"/>
        </w:rPr>
        <w:t xml:space="preserve"> si lo preferirían o no en caso de obtener todos los papeles necesarios. Es decir, siempre que los trámites legales no sean un obstáculo.</w:t>
      </w:r>
      <w:r>
        <w:rPr>
          <w:sz w:val="24"/>
          <w:szCs w:val="24"/>
        </w:rPr>
        <w:t xml:space="preserve"> L</w:t>
      </w:r>
      <w:r w:rsidRPr="00C62F7D">
        <w:rPr>
          <w:sz w:val="24"/>
          <w:szCs w:val="24"/>
        </w:rPr>
        <w:t xml:space="preserve">o que se observa es que </w:t>
      </w:r>
      <w:r w:rsidRPr="005371D3">
        <w:rPr>
          <w:b/>
          <w:sz w:val="24"/>
          <w:szCs w:val="24"/>
        </w:rPr>
        <w:t>la proporción de argentinos que manifiestan interés en vivir en otro país fue variando a lo largo de los años, con un marcado crecimiento desde el 2007</w:t>
      </w:r>
      <w:r w:rsidRPr="00C62F7D">
        <w:rPr>
          <w:sz w:val="24"/>
          <w:szCs w:val="24"/>
        </w:rPr>
        <w:t xml:space="preserve">. Ese año el 20% señaló querer vivir afuera, porcentaje que saltó al 37% en 2020, y luego creció nuevamente a 53% en 2021, proporción que se mantiene hoy (54%), y creciendo 17 puntos porcentuales desde el año de la pandemia. </w:t>
      </w:r>
    </w:p>
    <w:p w14:paraId="5B8F4156" w14:textId="77777777" w:rsidR="00D40D8A" w:rsidRPr="009B678F" w:rsidRDefault="00D40D8A" w:rsidP="00D40D8A">
      <w:pPr>
        <w:tabs>
          <w:tab w:val="left" w:pos="1095"/>
        </w:tabs>
        <w:spacing w:after="0" w:line="276" w:lineRule="auto"/>
        <w:jc w:val="both"/>
        <w:rPr>
          <w:sz w:val="28"/>
          <w:szCs w:val="28"/>
        </w:rPr>
      </w:pPr>
    </w:p>
    <w:p w14:paraId="21CA6A58" w14:textId="77777777" w:rsidR="00D40D8A" w:rsidRPr="009B678F" w:rsidRDefault="00D40D8A" w:rsidP="00D40D8A">
      <w:pPr>
        <w:tabs>
          <w:tab w:val="left" w:pos="1095"/>
        </w:tabs>
        <w:spacing w:after="0" w:line="276" w:lineRule="auto"/>
        <w:jc w:val="center"/>
        <w:rPr>
          <w:rFonts w:cstheme="minorHAnsi"/>
          <w:b/>
          <w:bCs/>
          <w:color w:val="000000"/>
          <w:shd w:val="clear" w:color="auto" w:fill="FFFFFF"/>
        </w:rPr>
      </w:pPr>
      <w:r w:rsidRPr="009B678F">
        <w:rPr>
          <w:rFonts w:cstheme="minorHAnsi"/>
          <w:b/>
          <w:bCs/>
          <w:color w:val="000000"/>
          <w:shd w:val="clear" w:color="auto" w:fill="FFFFFF"/>
        </w:rPr>
        <w:t>¿Le gustaría vivir en otro país que no fuera la Argentina? // Si le dieran todos los papeles necesarios, ¿le gustaría vivir en otro país o preferiría quedarse dónde está?</w:t>
      </w:r>
    </w:p>
    <w:p w14:paraId="6D5E6D3C" w14:textId="77777777" w:rsidR="00D40D8A" w:rsidRPr="003B5B41" w:rsidRDefault="00D40D8A" w:rsidP="00D40D8A">
      <w:pPr>
        <w:tabs>
          <w:tab w:val="left" w:pos="1095"/>
        </w:tabs>
        <w:spacing w:after="0" w:line="276" w:lineRule="auto"/>
        <w:jc w:val="center"/>
        <w:rPr>
          <w:rFonts w:cstheme="minorHAnsi"/>
          <w:b/>
          <w:bCs/>
          <w:color w:val="000000"/>
          <w:sz w:val="20"/>
          <w:szCs w:val="20"/>
          <w:shd w:val="clear" w:color="auto" w:fill="FFFFFF"/>
        </w:rPr>
      </w:pPr>
    </w:p>
    <w:p w14:paraId="5A918AA2" w14:textId="77777777" w:rsidR="00D40D8A" w:rsidRDefault="00D40D8A" w:rsidP="00D40D8A">
      <w:pPr>
        <w:tabs>
          <w:tab w:val="left" w:pos="1095"/>
        </w:tabs>
        <w:spacing w:after="0" w:line="276" w:lineRule="auto"/>
        <w:jc w:val="center"/>
        <w:rPr>
          <w:sz w:val="24"/>
          <w:szCs w:val="24"/>
          <w:lang w:val="es-ES"/>
        </w:rPr>
      </w:pPr>
      <w:r w:rsidRPr="009B678F">
        <w:rPr>
          <w:noProof/>
          <w:sz w:val="20"/>
          <w:szCs w:val="20"/>
          <w:lang w:val="en-US"/>
        </w:rPr>
        <w:drawing>
          <wp:inline distT="0" distB="0" distL="0" distR="0" wp14:anchorId="3097C8B0" wp14:editId="49FAC9B9">
            <wp:extent cx="5972175" cy="2346385"/>
            <wp:effectExtent l="0" t="0" r="0" b="0"/>
            <wp:docPr id="1" name="Gráfico 1">
              <a:extLst xmlns:a="http://schemas.openxmlformats.org/drawingml/2006/main">
                <a:ext uri="{FF2B5EF4-FFF2-40B4-BE49-F238E27FC236}">
                  <a16:creationId xmlns:a16="http://schemas.microsoft.com/office/drawing/2014/main" id="{5F2AA6DE-70BD-08E9-E7B0-6BD49DF60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80622A" w14:textId="77777777" w:rsidR="00D40D8A" w:rsidRPr="00BA7FDA" w:rsidRDefault="00D40D8A" w:rsidP="00D40D8A">
      <w:pPr>
        <w:pStyle w:val="NormalWeb"/>
        <w:pBdr>
          <w:top w:val="single" w:sz="4" w:space="1" w:color="000000"/>
        </w:pBdr>
        <w:spacing w:before="0" w:beforeAutospacing="0" w:after="0" w:afterAutospacing="0" w:line="276" w:lineRule="auto"/>
      </w:pPr>
      <w:r>
        <w:rPr>
          <w:rFonts w:ascii="Calibri" w:hAnsi="Calibri" w:cs="Calibri"/>
          <w:color w:val="000000"/>
          <w:sz w:val="18"/>
          <w:szCs w:val="18"/>
        </w:rPr>
        <w:t xml:space="preserve">Fuente: VOICES! estudios nacionales / </w:t>
      </w:r>
      <w:r w:rsidRPr="00C62F7D">
        <w:rPr>
          <w:rFonts w:ascii="Calibri" w:hAnsi="Calibri" w:cs="Calibri"/>
          <w:color w:val="000000"/>
          <w:sz w:val="18"/>
          <w:szCs w:val="18"/>
        </w:rPr>
        <w:t>UADE - VOICES!</w:t>
      </w:r>
      <w:r>
        <w:rPr>
          <w:rFonts w:ascii="Calibri" w:hAnsi="Calibri" w:cs="Calibri"/>
          <w:color w:val="000000"/>
          <w:sz w:val="18"/>
          <w:szCs w:val="18"/>
        </w:rPr>
        <w:t xml:space="preserve"> 2021</w:t>
      </w:r>
    </w:p>
    <w:p w14:paraId="04429BA9" w14:textId="77777777" w:rsidR="00D40D8A" w:rsidRDefault="00D40D8A" w:rsidP="007F44CE">
      <w:pPr>
        <w:pStyle w:val="NormalWeb"/>
        <w:spacing w:before="0" w:beforeAutospacing="0" w:after="0" w:afterAutospacing="0" w:line="276" w:lineRule="auto"/>
        <w:jc w:val="both"/>
        <w:rPr>
          <w:rFonts w:ascii="Calibri" w:hAnsi="Calibri" w:cs="Calibri"/>
          <w:b/>
          <w:bCs/>
        </w:rPr>
      </w:pPr>
    </w:p>
    <w:p w14:paraId="0A5A50EE" w14:textId="77777777" w:rsidR="00BE1CE6" w:rsidRPr="00226D43" w:rsidRDefault="00E31216" w:rsidP="007F44CE">
      <w:pPr>
        <w:pStyle w:val="NormalWeb"/>
        <w:spacing w:before="0" w:beforeAutospacing="0" w:after="0" w:afterAutospacing="0" w:line="276" w:lineRule="auto"/>
        <w:jc w:val="both"/>
        <w:rPr>
          <w:rFonts w:ascii="Calibri" w:hAnsi="Calibri" w:cs="Calibri"/>
        </w:rPr>
      </w:pPr>
      <w:r w:rsidRPr="00226D43">
        <w:rPr>
          <w:rFonts w:ascii="Calibri" w:hAnsi="Calibri" w:cs="Calibri"/>
          <w:b/>
          <w:bCs/>
        </w:rPr>
        <w:t xml:space="preserve">Constanza Cilley, Directora Ejecutiva de Voices! remarcó que: </w:t>
      </w:r>
      <w:r w:rsidRPr="00226D43">
        <w:rPr>
          <w:rFonts w:ascii="Calibri" w:hAnsi="Calibri" w:cs="Calibri"/>
        </w:rPr>
        <w:t>“</w:t>
      </w:r>
      <w:r w:rsidR="00BE1CE6" w:rsidRPr="00226D43">
        <w:rPr>
          <w:rFonts w:ascii="Calibri" w:hAnsi="Calibri" w:cs="Calibri"/>
        </w:rPr>
        <w:t xml:space="preserve">Los datos que arroja el estudio </w:t>
      </w:r>
      <w:r w:rsidR="00226D43">
        <w:rPr>
          <w:rFonts w:ascii="Calibri" w:hAnsi="Calibri" w:cs="Calibri"/>
        </w:rPr>
        <w:t xml:space="preserve">en Argentina </w:t>
      </w:r>
      <w:r w:rsidR="00BE1CE6" w:rsidRPr="00226D43">
        <w:rPr>
          <w:rFonts w:ascii="Calibri" w:hAnsi="Calibri" w:cs="Calibri"/>
        </w:rPr>
        <w:t xml:space="preserve">revelan un aspecto muy preocupante que tiene que ver con la falta de optimismo hacia el futuro. Es muy significativo el porcentaje de ciudadanos que sueña con una vida afuera del país ya que no ve posibilidad de progresar en él, sobre todo los más jóvenes. Esto nos plantea un gran desafío como país y como sociedad”. </w:t>
      </w:r>
    </w:p>
    <w:p w14:paraId="45DF6638" w14:textId="77777777" w:rsidR="00D40D8A" w:rsidRDefault="00D40D8A">
      <w:pPr>
        <w:rPr>
          <w:rFonts w:cstheme="minorHAnsi"/>
          <w:b/>
          <w:bCs/>
          <w:color w:val="000000"/>
          <w:shd w:val="clear" w:color="auto" w:fill="FFFFFF"/>
        </w:rPr>
      </w:pPr>
      <w:r>
        <w:rPr>
          <w:rFonts w:cstheme="minorHAnsi"/>
          <w:b/>
          <w:bCs/>
          <w:color w:val="000000"/>
          <w:shd w:val="clear" w:color="auto" w:fill="FFFFFF"/>
        </w:rPr>
        <w:br w:type="page"/>
      </w:r>
    </w:p>
    <w:p w14:paraId="26614F2F" w14:textId="77777777" w:rsidR="001E253F" w:rsidRPr="009B678F" w:rsidRDefault="001E253F" w:rsidP="001E253F">
      <w:pPr>
        <w:tabs>
          <w:tab w:val="left" w:pos="1095"/>
        </w:tabs>
        <w:spacing w:after="0" w:line="276" w:lineRule="auto"/>
        <w:jc w:val="center"/>
        <w:rPr>
          <w:sz w:val="28"/>
          <w:szCs w:val="28"/>
          <w:lang w:val="es-ES"/>
        </w:rPr>
      </w:pPr>
      <w:r w:rsidRPr="009B678F">
        <w:rPr>
          <w:rFonts w:cstheme="minorHAnsi"/>
          <w:b/>
          <w:bCs/>
          <w:color w:val="000000"/>
          <w:shd w:val="clear" w:color="auto" w:fill="FFFFFF"/>
        </w:rPr>
        <w:lastRenderedPageBreak/>
        <w:t>Si le dieran todos los papeles necesarios, ¿le gustaría vivir en otro país o preferiría quedarse dónde está?</w:t>
      </w:r>
    </w:p>
    <w:p w14:paraId="7E277392" w14:textId="77777777" w:rsidR="001E253F" w:rsidRDefault="001E253F" w:rsidP="001E253F">
      <w:pPr>
        <w:tabs>
          <w:tab w:val="left" w:pos="1095"/>
        </w:tabs>
        <w:spacing w:after="0" w:line="276" w:lineRule="auto"/>
        <w:jc w:val="center"/>
        <w:rPr>
          <w:rFonts w:cstheme="minorHAnsi"/>
          <w:b/>
          <w:bCs/>
          <w:color w:val="000000"/>
          <w:sz w:val="20"/>
          <w:szCs w:val="20"/>
          <w:shd w:val="clear" w:color="auto" w:fill="FFFFFF"/>
        </w:rPr>
      </w:pPr>
    </w:p>
    <w:p w14:paraId="4A899C67" w14:textId="59CD782B" w:rsidR="001E253F" w:rsidRPr="00B04370" w:rsidRDefault="00E33D52" w:rsidP="001E253F">
      <w:pPr>
        <w:tabs>
          <w:tab w:val="left" w:pos="1095"/>
        </w:tabs>
        <w:spacing w:after="0" w:line="276" w:lineRule="auto"/>
        <w:jc w:val="center"/>
        <w:rPr>
          <w:rFonts w:cstheme="minorHAnsi"/>
          <w:b/>
          <w:bCs/>
          <w:color w:val="000000"/>
          <w:sz w:val="24"/>
          <w:szCs w:val="24"/>
          <w:shd w:val="clear" w:color="auto" w:fill="FFFFFF"/>
        </w:rPr>
      </w:pPr>
      <w:r>
        <w:rPr>
          <w:rFonts w:cstheme="minorHAnsi"/>
          <w:b/>
          <w:bCs/>
          <w:noProof/>
          <w:color w:val="000000"/>
          <w:sz w:val="24"/>
          <w:szCs w:val="24"/>
          <w:shd w:val="clear" w:color="auto" w:fill="FFFFFF"/>
          <w:lang w:val="en-US"/>
        </w:rPr>
        <w:drawing>
          <wp:inline distT="0" distB="0" distL="0" distR="0" wp14:anchorId="40467A94" wp14:editId="66F8D18D">
            <wp:extent cx="3943350" cy="25651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5545" cy="262513"/>
                    </a:xfrm>
                    <a:prstGeom prst="rect">
                      <a:avLst/>
                    </a:prstGeom>
                    <a:noFill/>
                  </pic:spPr>
                </pic:pic>
              </a:graphicData>
            </a:graphic>
          </wp:inline>
        </w:drawing>
      </w:r>
    </w:p>
    <w:p w14:paraId="1C41F8B5" w14:textId="77777777" w:rsidR="001E253F" w:rsidRDefault="001E253F" w:rsidP="001E253F">
      <w:pPr>
        <w:tabs>
          <w:tab w:val="left" w:pos="1095"/>
        </w:tabs>
        <w:spacing w:after="0" w:line="276" w:lineRule="auto"/>
        <w:jc w:val="center"/>
        <w:rPr>
          <w:sz w:val="24"/>
          <w:szCs w:val="24"/>
          <w:lang w:val="es-ES"/>
        </w:rPr>
      </w:pPr>
      <w:r w:rsidRPr="00EE2516">
        <w:rPr>
          <w:noProof/>
          <w:sz w:val="24"/>
          <w:szCs w:val="24"/>
          <w:lang w:val="en-US"/>
        </w:rPr>
        <w:drawing>
          <wp:inline distT="0" distB="0" distL="0" distR="0" wp14:anchorId="10CB8B67" wp14:editId="6BAFA5B6">
            <wp:extent cx="5086350" cy="7362825"/>
            <wp:effectExtent l="0" t="0" r="0" b="0"/>
            <wp:docPr id="609638123" name="Gráfico 1">
              <a:extLst xmlns:a="http://schemas.openxmlformats.org/drawingml/2006/main">
                <a:ext uri="{FF2B5EF4-FFF2-40B4-BE49-F238E27FC236}">
                  <a16:creationId xmlns:a16="http://schemas.microsoft.com/office/drawing/2014/main" id="{65BEE5E4-E267-D372-3C9C-C41572C5AC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EEF0B3" w14:textId="77777777" w:rsidR="001E253F" w:rsidRDefault="001E253F" w:rsidP="001E253F">
      <w:pPr>
        <w:spacing w:after="0" w:line="276" w:lineRule="auto"/>
        <w:rPr>
          <w:rFonts w:ascii="Calibri" w:eastAsia="Calibri" w:hAnsi="Calibri" w:cs="Calibri"/>
          <w:i/>
          <w:iCs/>
          <w:color w:val="000000" w:themeColor="dark1"/>
          <w:sz w:val="18"/>
          <w:szCs w:val="18"/>
        </w:rPr>
      </w:pPr>
      <w:r w:rsidRPr="00DA7868">
        <w:rPr>
          <w:rFonts w:ascii="Calibri" w:eastAsia="Calibri" w:hAnsi="Calibri" w:cs="Calibri"/>
          <w:i/>
          <w:iCs/>
          <w:color w:val="000000" w:themeColor="dark1"/>
          <w:sz w:val="18"/>
          <w:szCs w:val="18"/>
        </w:rPr>
        <w:t xml:space="preserve">* Cisjordania y Gaza. </w:t>
      </w:r>
      <w:r w:rsidRPr="000C79BD">
        <w:rPr>
          <w:rFonts w:ascii="Calibri" w:eastAsia="Calibri" w:hAnsi="Calibri" w:cs="Calibri"/>
          <w:i/>
          <w:iCs/>
          <w:color w:val="000000" w:themeColor="dark1"/>
          <w:sz w:val="18"/>
          <w:szCs w:val="18"/>
        </w:rPr>
        <w:t>Los gráficos pueden no sumar 100% por redondeo de decimales</w:t>
      </w:r>
    </w:p>
    <w:p w14:paraId="4E94DEAA" w14:textId="77777777" w:rsidR="001E253F" w:rsidRPr="009B678F" w:rsidRDefault="001E253F" w:rsidP="001E253F">
      <w:pPr>
        <w:spacing w:after="0" w:line="276" w:lineRule="auto"/>
        <w:rPr>
          <w:rFonts w:ascii="Calibri" w:eastAsia="Calibri" w:hAnsi="Calibri" w:cs="Calibri"/>
          <w:i/>
          <w:iCs/>
          <w:color w:val="000000" w:themeColor="dark1"/>
          <w:sz w:val="18"/>
          <w:szCs w:val="18"/>
        </w:rPr>
      </w:pPr>
    </w:p>
    <w:p w14:paraId="402EFF37" w14:textId="77777777" w:rsidR="001E253F" w:rsidRDefault="001E253F" w:rsidP="001E253F">
      <w:pPr>
        <w:pStyle w:val="NormalWeb"/>
        <w:pBdr>
          <w:top w:val="single" w:sz="4" w:space="1" w:color="000000"/>
        </w:pBdr>
        <w:spacing w:before="0" w:beforeAutospacing="0" w:after="0" w:afterAutospacing="0" w:line="276" w:lineRule="auto"/>
        <w:rPr>
          <w:rFonts w:ascii="Calibri" w:hAnsi="Calibri" w:cs="Calibri"/>
          <w:color w:val="000000"/>
          <w:sz w:val="18"/>
          <w:szCs w:val="18"/>
        </w:rPr>
      </w:pPr>
      <w:r>
        <w:rPr>
          <w:rFonts w:ascii="Calibri" w:hAnsi="Calibri" w:cs="Calibri"/>
          <w:color w:val="000000"/>
          <w:sz w:val="18"/>
          <w:szCs w:val="18"/>
        </w:rPr>
        <w:t>Fuente: Encuesta Global. VOICES! en Argentina.</w:t>
      </w:r>
    </w:p>
    <w:p w14:paraId="6601CA8D" w14:textId="77777777" w:rsidR="005371D3" w:rsidRDefault="005371D3">
      <w:pPr>
        <w:rPr>
          <w:rFonts w:eastAsia="Times New Roman" w:cstheme="minorHAnsi"/>
          <w:b/>
          <w:bCs/>
          <w:color w:val="222222"/>
          <w:spacing w:val="-2"/>
          <w:kern w:val="0"/>
          <w:sz w:val="24"/>
          <w:szCs w:val="24"/>
          <w:lang w:val="es-ES" w:eastAsia="es-AR"/>
          <w14:ligatures w14:val="none"/>
        </w:rPr>
      </w:pPr>
      <w:r>
        <w:rPr>
          <w:rFonts w:eastAsia="Times New Roman" w:cstheme="minorHAnsi"/>
          <w:b/>
          <w:bCs/>
          <w:color w:val="222222"/>
          <w:spacing w:val="-2"/>
          <w:kern w:val="0"/>
          <w:sz w:val="24"/>
          <w:szCs w:val="24"/>
          <w:lang w:val="es-ES" w:eastAsia="es-AR"/>
          <w14:ligatures w14:val="none"/>
        </w:rPr>
        <w:br w:type="page"/>
      </w:r>
    </w:p>
    <w:p w14:paraId="6DC480CD" w14:textId="77777777" w:rsidR="00967FE4" w:rsidRPr="00967FE4" w:rsidRDefault="00967FE4" w:rsidP="007F44CE">
      <w:pPr>
        <w:shd w:val="clear" w:color="auto" w:fill="FFFFFF"/>
        <w:spacing w:after="0" w:line="276" w:lineRule="auto"/>
        <w:jc w:val="both"/>
        <w:rPr>
          <w:rFonts w:eastAsia="Times New Roman" w:cstheme="minorHAnsi"/>
          <w:color w:val="222222"/>
          <w:kern w:val="0"/>
          <w:sz w:val="24"/>
          <w:szCs w:val="24"/>
          <w:lang w:eastAsia="es-AR"/>
          <w14:ligatures w14:val="none"/>
        </w:rPr>
      </w:pPr>
      <w:r w:rsidRPr="00967FE4">
        <w:rPr>
          <w:rFonts w:eastAsia="Times New Roman" w:cstheme="minorHAnsi"/>
          <w:b/>
          <w:bCs/>
          <w:color w:val="222222"/>
          <w:spacing w:val="-2"/>
          <w:kern w:val="0"/>
          <w:sz w:val="24"/>
          <w:szCs w:val="24"/>
          <w:lang w:val="es-ES" w:eastAsia="es-AR"/>
          <w14:ligatures w14:val="none"/>
        </w:rPr>
        <w:lastRenderedPageBreak/>
        <w:t>ACERCA DE VOICES!</w:t>
      </w:r>
    </w:p>
    <w:p w14:paraId="268E22CC" w14:textId="77777777" w:rsidR="00416D2C" w:rsidRDefault="00967FE4" w:rsidP="007F44CE">
      <w:pPr>
        <w:shd w:val="clear" w:color="auto" w:fill="FFFFFF"/>
        <w:spacing w:after="0" w:line="276" w:lineRule="auto"/>
        <w:jc w:val="both"/>
        <w:rPr>
          <w:rFonts w:eastAsia="Times New Roman" w:cstheme="minorHAnsi"/>
          <w:color w:val="222222"/>
          <w:spacing w:val="-2"/>
          <w:kern w:val="0"/>
          <w:sz w:val="24"/>
          <w:szCs w:val="24"/>
          <w:lang w:val="es-ES" w:eastAsia="es-AR"/>
          <w14:ligatures w14:val="none"/>
        </w:rPr>
      </w:pPr>
      <w:r w:rsidRPr="00967FE4">
        <w:rPr>
          <w:rFonts w:eastAsia="Times New Roman" w:cstheme="minorHAnsi"/>
          <w:color w:val="222222"/>
          <w:spacing w:val="-2"/>
          <w:kern w:val="0"/>
          <w:sz w:val="24"/>
          <w:szCs w:val="24"/>
          <w:lang w:val="es-ES" w:eastAsia="es-AR"/>
          <w14:ligatures w14:val="none"/>
        </w:rPr>
        <w:t>Voices! Research &amp; Consultancy es una empresa con foco en la investigación social, política y de mercado, con el objetivo de proporcionar consultoría a las organizaciones usando rigurosas metodologías y enfoques innovadores. El equipo de VOICES!  tiene una amplia experiencia en estudios nacionales e internacionales y ha participado en las investigaciones con encuestas más importantes del mundo. </w:t>
      </w:r>
    </w:p>
    <w:p w14:paraId="35D9BC5C" w14:textId="77777777" w:rsidR="00967FE4" w:rsidRPr="00967FE4" w:rsidRDefault="00B74A4C" w:rsidP="007F44CE">
      <w:pPr>
        <w:shd w:val="clear" w:color="auto" w:fill="FFFFFF"/>
        <w:spacing w:after="0" w:line="276" w:lineRule="auto"/>
        <w:jc w:val="both"/>
        <w:rPr>
          <w:rFonts w:eastAsia="Times New Roman" w:cstheme="minorHAnsi"/>
          <w:color w:val="222222"/>
          <w:kern w:val="0"/>
          <w:sz w:val="24"/>
          <w:szCs w:val="24"/>
          <w:lang w:eastAsia="es-AR"/>
          <w14:ligatures w14:val="none"/>
        </w:rPr>
      </w:pPr>
      <w:hyperlink r:id="rId12" w:history="1">
        <w:r w:rsidR="00416D2C" w:rsidRPr="00967FE4">
          <w:rPr>
            <w:rStyle w:val="Hipervnculo"/>
            <w:rFonts w:eastAsia="Times New Roman" w:cstheme="minorHAnsi"/>
            <w:spacing w:val="-2"/>
            <w:kern w:val="0"/>
            <w:sz w:val="24"/>
            <w:szCs w:val="24"/>
            <w:lang w:val="es-ES" w:eastAsia="es-AR"/>
            <w14:ligatures w14:val="none"/>
          </w:rPr>
          <w:t>http://www.voicesconsultancy.com/</w:t>
        </w:r>
      </w:hyperlink>
    </w:p>
    <w:p w14:paraId="7D1BDD80" w14:textId="77777777" w:rsidR="00967FE4" w:rsidRPr="00967FE4" w:rsidRDefault="00967FE4" w:rsidP="007F44CE">
      <w:pPr>
        <w:shd w:val="clear" w:color="auto" w:fill="FFFFFF"/>
        <w:spacing w:after="0" w:line="276" w:lineRule="auto"/>
        <w:jc w:val="both"/>
        <w:rPr>
          <w:rFonts w:eastAsia="Times New Roman" w:cstheme="minorHAnsi"/>
          <w:color w:val="222222"/>
          <w:kern w:val="0"/>
          <w:sz w:val="24"/>
          <w:szCs w:val="24"/>
          <w:lang w:eastAsia="es-AR"/>
          <w14:ligatures w14:val="none"/>
        </w:rPr>
      </w:pPr>
      <w:r w:rsidRPr="00967FE4">
        <w:rPr>
          <w:rFonts w:eastAsia="Times New Roman" w:cstheme="minorHAnsi"/>
          <w:b/>
          <w:bCs/>
          <w:color w:val="222222"/>
          <w:kern w:val="0"/>
          <w:sz w:val="24"/>
          <w:szCs w:val="24"/>
          <w:lang w:val="es-ES" w:eastAsia="es-AR"/>
          <w14:ligatures w14:val="none"/>
        </w:rPr>
        <w:t> </w:t>
      </w:r>
    </w:p>
    <w:p w14:paraId="310D6DAA" w14:textId="77777777" w:rsidR="00967FE4" w:rsidRPr="00967FE4" w:rsidRDefault="00967FE4" w:rsidP="007F44CE">
      <w:pPr>
        <w:shd w:val="clear" w:color="auto" w:fill="FFFFFF"/>
        <w:spacing w:after="0" w:line="276" w:lineRule="auto"/>
        <w:jc w:val="both"/>
        <w:rPr>
          <w:rFonts w:eastAsia="Times New Roman" w:cstheme="minorHAnsi"/>
          <w:color w:val="222222"/>
          <w:kern w:val="0"/>
          <w:sz w:val="24"/>
          <w:szCs w:val="24"/>
          <w:lang w:eastAsia="es-AR"/>
          <w14:ligatures w14:val="none"/>
        </w:rPr>
      </w:pPr>
      <w:r w:rsidRPr="00967FE4">
        <w:rPr>
          <w:rFonts w:eastAsia="Times New Roman" w:cstheme="minorHAnsi"/>
          <w:b/>
          <w:bCs/>
          <w:color w:val="222222"/>
          <w:kern w:val="0"/>
          <w:sz w:val="24"/>
          <w:szCs w:val="24"/>
          <w:lang w:val="es-ES" w:eastAsia="es-AR"/>
          <w14:ligatures w14:val="none"/>
        </w:rPr>
        <w:t>ESTUDIO INTERNACIONAL</w:t>
      </w:r>
    </w:p>
    <w:p w14:paraId="6B34D777" w14:textId="77777777" w:rsidR="00967FE4" w:rsidRPr="00967FE4" w:rsidRDefault="00967FE4" w:rsidP="007F44CE">
      <w:pPr>
        <w:shd w:val="clear" w:color="auto" w:fill="FFFFFF"/>
        <w:spacing w:after="0" w:line="276" w:lineRule="auto"/>
        <w:jc w:val="both"/>
        <w:rPr>
          <w:rFonts w:eastAsia="Times New Roman" w:cstheme="minorHAnsi"/>
          <w:color w:val="222222"/>
          <w:kern w:val="0"/>
          <w:sz w:val="24"/>
          <w:szCs w:val="24"/>
          <w:lang w:eastAsia="es-AR"/>
          <w14:ligatures w14:val="none"/>
        </w:rPr>
      </w:pPr>
      <w:r w:rsidRPr="00967FE4">
        <w:rPr>
          <w:rFonts w:eastAsia="Times New Roman" w:cstheme="minorHAnsi"/>
          <w:b/>
          <w:bCs/>
          <w:color w:val="222222"/>
          <w:kern w:val="0"/>
          <w:sz w:val="24"/>
          <w:szCs w:val="24"/>
          <w:lang w:val="es-ES" w:eastAsia="es-AR"/>
          <w14:ligatures w14:val="none"/>
        </w:rPr>
        <w:t>Cobertura</w:t>
      </w:r>
      <w:r w:rsidRPr="00967FE4">
        <w:rPr>
          <w:rFonts w:eastAsia="Times New Roman" w:cstheme="minorHAnsi"/>
          <w:color w:val="222222"/>
          <w:kern w:val="0"/>
          <w:sz w:val="24"/>
          <w:szCs w:val="24"/>
          <w:lang w:val="es-ES" w:eastAsia="es-AR"/>
          <w14:ligatures w14:val="none"/>
        </w:rPr>
        <w:t>: </w:t>
      </w:r>
      <w:r w:rsidRPr="00967FE4">
        <w:rPr>
          <w:rFonts w:eastAsia="Times New Roman" w:cstheme="minorHAnsi"/>
          <w:color w:val="000000" w:themeColor="text1"/>
          <w:kern w:val="0"/>
          <w:sz w:val="24"/>
          <w:szCs w:val="24"/>
          <w:lang w:val="es-ES" w:eastAsia="es-AR"/>
          <w14:ligatures w14:val="none"/>
        </w:rPr>
        <w:t>57 países cubriendo todas las regiones</w:t>
      </w:r>
    </w:p>
    <w:p w14:paraId="653ADFB9" w14:textId="77777777" w:rsidR="00967FE4" w:rsidRPr="00967FE4" w:rsidRDefault="00967FE4" w:rsidP="007F44CE">
      <w:pPr>
        <w:shd w:val="clear" w:color="auto" w:fill="FFFFFF"/>
        <w:spacing w:after="0" w:line="276" w:lineRule="auto"/>
        <w:jc w:val="both"/>
        <w:rPr>
          <w:rFonts w:eastAsia="Times New Roman" w:cstheme="minorHAnsi"/>
          <w:color w:val="222222"/>
          <w:kern w:val="0"/>
          <w:sz w:val="24"/>
          <w:szCs w:val="24"/>
          <w:lang w:eastAsia="es-AR"/>
          <w14:ligatures w14:val="none"/>
        </w:rPr>
      </w:pPr>
      <w:r w:rsidRPr="00967FE4">
        <w:rPr>
          <w:rFonts w:eastAsia="Times New Roman" w:cstheme="minorHAnsi"/>
          <w:b/>
          <w:bCs/>
          <w:color w:val="222222"/>
          <w:kern w:val="0"/>
          <w:sz w:val="24"/>
          <w:szCs w:val="24"/>
          <w:lang w:val="es-ES" w:eastAsia="es-AR"/>
          <w14:ligatures w14:val="none"/>
        </w:rPr>
        <w:t>Tamaño de la muestra y trabajo de campo:</w:t>
      </w:r>
    </w:p>
    <w:p w14:paraId="1EA5A0D7" w14:textId="77777777" w:rsidR="00967FE4" w:rsidRPr="00967FE4" w:rsidRDefault="00967FE4" w:rsidP="007F44CE">
      <w:pPr>
        <w:shd w:val="clear" w:color="auto" w:fill="FFFFFF"/>
        <w:spacing w:after="0" w:line="276" w:lineRule="auto"/>
        <w:jc w:val="both"/>
        <w:rPr>
          <w:rFonts w:eastAsia="Times New Roman" w:cstheme="minorHAnsi"/>
          <w:color w:val="000000" w:themeColor="text1"/>
          <w:kern w:val="0"/>
          <w:sz w:val="24"/>
          <w:szCs w:val="24"/>
          <w:lang w:eastAsia="es-AR"/>
          <w14:ligatures w14:val="none"/>
        </w:rPr>
      </w:pPr>
      <w:r w:rsidRPr="00967FE4">
        <w:rPr>
          <w:rFonts w:eastAsia="Times New Roman" w:cstheme="minorHAnsi"/>
          <w:color w:val="000000" w:themeColor="text1"/>
          <w:kern w:val="0"/>
          <w:sz w:val="24"/>
          <w:szCs w:val="24"/>
          <w:lang w:val="es-ES" w:eastAsia="es-AR"/>
          <w14:ligatures w14:val="none"/>
        </w:rPr>
        <w:t xml:space="preserve">Se entrevistó a un total de </w:t>
      </w:r>
      <w:r w:rsidRPr="00967FE4">
        <w:rPr>
          <w:rFonts w:eastAsia="Times New Roman" w:cstheme="minorHAnsi"/>
          <w:color w:val="000000" w:themeColor="text1"/>
          <w:kern w:val="0"/>
          <w:sz w:val="24"/>
          <w:szCs w:val="24"/>
          <w:lang w:eastAsia="es-AR"/>
          <w14:ligatures w14:val="none"/>
        </w:rPr>
        <w:t>54</w:t>
      </w:r>
      <w:r>
        <w:rPr>
          <w:rFonts w:eastAsia="Times New Roman" w:cstheme="minorHAnsi"/>
          <w:color w:val="000000" w:themeColor="text1"/>
          <w:kern w:val="0"/>
          <w:sz w:val="24"/>
          <w:szCs w:val="24"/>
          <w:lang w:eastAsia="es-AR"/>
          <w14:ligatures w14:val="none"/>
        </w:rPr>
        <w:t>.</w:t>
      </w:r>
      <w:r w:rsidRPr="00967FE4">
        <w:rPr>
          <w:rFonts w:eastAsia="Times New Roman" w:cstheme="minorHAnsi"/>
          <w:color w:val="000000" w:themeColor="text1"/>
          <w:kern w:val="0"/>
          <w:sz w:val="24"/>
          <w:szCs w:val="24"/>
          <w:lang w:eastAsia="es-AR"/>
          <w14:ligatures w14:val="none"/>
        </w:rPr>
        <w:t>329</w:t>
      </w:r>
      <w:r>
        <w:rPr>
          <w:rFonts w:eastAsia="Times New Roman" w:cstheme="minorHAnsi"/>
          <w:color w:val="000000" w:themeColor="text1"/>
          <w:kern w:val="0"/>
          <w:sz w:val="24"/>
          <w:szCs w:val="24"/>
          <w:lang w:eastAsia="es-AR"/>
          <w14:ligatures w14:val="none"/>
        </w:rPr>
        <w:t xml:space="preserve"> </w:t>
      </w:r>
      <w:r w:rsidRPr="00967FE4">
        <w:rPr>
          <w:rFonts w:eastAsia="Times New Roman" w:cstheme="minorHAnsi"/>
          <w:color w:val="000000" w:themeColor="text1"/>
          <w:kern w:val="0"/>
          <w:sz w:val="24"/>
          <w:szCs w:val="24"/>
          <w:lang w:val="es-ES" w:eastAsia="es-AR"/>
          <w14:ligatures w14:val="none"/>
        </w:rPr>
        <w:t xml:space="preserve">personas en todo el mundo. En cada país se entrevistó una muestra representativa de unos 1.000 mujeres y hombres durante los meses de </w:t>
      </w:r>
      <w:r w:rsidRPr="00967FE4">
        <w:rPr>
          <w:rFonts w:eastAsia="Times New Roman" w:cstheme="minorHAnsi"/>
          <w:color w:val="000000" w:themeColor="text1"/>
          <w:kern w:val="0"/>
          <w:sz w:val="24"/>
          <w:szCs w:val="24"/>
          <w:lang w:eastAsia="es-AR"/>
          <w14:ligatures w14:val="none"/>
        </w:rPr>
        <w:t>agosto y octubre de 2022</w:t>
      </w:r>
      <w:r w:rsidRPr="00967FE4">
        <w:rPr>
          <w:rFonts w:eastAsia="Times New Roman" w:cstheme="minorHAnsi"/>
          <w:color w:val="000000" w:themeColor="text1"/>
          <w:kern w:val="0"/>
          <w:sz w:val="24"/>
          <w:szCs w:val="24"/>
          <w:lang w:val="es-ES" w:eastAsia="es-AR"/>
          <w14:ligatures w14:val="none"/>
        </w:rPr>
        <w:t>, ya sea cara a cara, online o por teléfono.</w:t>
      </w:r>
      <w:r w:rsidR="00A077CD">
        <w:rPr>
          <w:rFonts w:eastAsia="Times New Roman" w:cstheme="minorHAnsi"/>
          <w:color w:val="000000" w:themeColor="text1"/>
          <w:kern w:val="0"/>
          <w:sz w:val="24"/>
          <w:szCs w:val="24"/>
          <w:lang w:val="es-ES" w:eastAsia="es-AR"/>
          <w14:ligatures w14:val="none"/>
        </w:rPr>
        <w:t xml:space="preserve"> En Argentina se realizaron 930 casos.</w:t>
      </w:r>
    </w:p>
    <w:p w14:paraId="53180968" w14:textId="77777777" w:rsidR="00967FE4" w:rsidRPr="00967FE4" w:rsidRDefault="00967FE4" w:rsidP="007F44CE">
      <w:pPr>
        <w:shd w:val="clear" w:color="auto" w:fill="FFFFFF"/>
        <w:spacing w:after="0" w:line="276" w:lineRule="auto"/>
        <w:jc w:val="both"/>
        <w:rPr>
          <w:rFonts w:eastAsia="Times New Roman" w:cstheme="minorHAnsi"/>
          <w:b/>
          <w:bCs/>
          <w:color w:val="000000" w:themeColor="text1"/>
          <w:kern w:val="0"/>
          <w:sz w:val="24"/>
          <w:szCs w:val="24"/>
          <w:lang w:val="es-ES" w:eastAsia="es-AR"/>
          <w14:ligatures w14:val="none"/>
        </w:rPr>
      </w:pPr>
      <w:r w:rsidRPr="00967FE4">
        <w:rPr>
          <w:rFonts w:eastAsia="Times New Roman" w:cstheme="minorHAnsi"/>
          <w:b/>
          <w:bCs/>
          <w:color w:val="000000" w:themeColor="text1"/>
          <w:kern w:val="0"/>
          <w:sz w:val="24"/>
          <w:szCs w:val="24"/>
          <w:lang w:val="es-ES" w:eastAsia="es-AR"/>
          <w14:ligatures w14:val="none"/>
        </w:rPr>
        <w:t> </w:t>
      </w:r>
    </w:p>
    <w:p w14:paraId="5C2DC88D" w14:textId="77777777" w:rsidR="00967FE4" w:rsidRPr="00967FE4" w:rsidRDefault="00967FE4" w:rsidP="007F44CE">
      <w:pPr>
        <w:shd w:val="clear" w:color="auto" w:fill="FFFFFF"/>
        <w:spacing w:after="0" w:line="276" w:lineRule="auto"/>
        <w:jc w:val="both"/>
        <w:rPr>
          <w:rFonts w:eastAsia="Times New Roman" w:cstheme="minorHAnsi"/>
          <w:color w:val="222222"/>
          <w:kern w:val="0"/>
          <w:sz w:val="24"/>
          <w:szCs w:val="24"/>
          <w:lang w:eastAsia="es-AR"/>
          <w14:ligatures w14:val="none"/>
        </w:rPr>
      </w:pPr>
      <w:r w:rsidRPr="00967FE4">
        <w:rPr>
          <w:rFonts w:eastAsia="Times New Roman" w:cstheme="minorHAnsi"/>
          <w:b/>
          <w:bCs/>
          <w:color w:val="222222"/>
          <w:kern w:val="0"/>
          <w:sz w:val="24"/>
          <w:szCs w:val="24"/>
          <w:lang w:val="es-ES" w:eastAsia="es-AR"/>
          <w14:ligatures w14:val="none"/>
        </w:rPr>
        <w:t>CONTACTO</w:t>
      </w:r>
    </w:p>
    <w:p w14:paraId="6373A708" w14:textId="77777777" w:rsidR="00967FE4" w:rsidRPr="00967FE4" w:rsidRDefault="00967FE4" w:rsidP="007F44CE">
      <w:pPr>
        <w:shd w:val="clear" w:color="auto" w:fill="FFFFFF"/>
        <w:spacing w:after="0" w:line="276" w:lineRule="auto"/>
        <w:jc w:val="both"/>
        <w:rPr>
          <w:rFonts w:eastAsia="Times New Roman" w:cstheme="minorHAnsi"/>
          <w:color w:val="222222"/>
          <w:kern w:val="0"/>
          <w:sz w:val="24"/>
          <w:szCs w:val="24"/>
          <w:lang w:eastAsia="es-AR"/>
          <w14:ligatures w14:val="none"/>
        </w:rPr>
      </w:pPr>
      <w:r w:rsidRPr="00967FE4">
        <w:rPr>
          <w:rFonts w:eastAsia="Times New Roman" w:cstheme="minorHAnsi"/>
          <w:b/>
          <w:bCs/>
          <w:color w:val="222222"/>
          <w:kern w:val="0"/>
          <w:sz w:val="24"/>
          <w:szCs w:val="24"/>
          <w:lang w:val="es-ES" w:eastAsia="es-AR"/>
          <w14:ligatures w14:val="none"/>
        </w:rPr>
        <w:t>Constanza Cilley | Directora Ejecutiva VOICES!</w:t>
      </w:r>
    </w:p>
    <w:p w14:paraId="66DBC7A1" w14:textId="77777777" w:rsidR="00967FE4" w:rsidRPr="00967FE4" w:rsidRDefault="00B74A4C" w:rsidP="007F44CE">
      <w:pPr>
        <w:shd w:val="clear" w:color="auto" w:fill="FFFFFF"/>
        <w:spacing w:after="0" w:line="276" w:lineRule="auto"/>
        <w:jc w:val="both"/>
        <w:rPr>
          <w:rFonts w:eastAsia="Times New Roman" w:cstheme="minorHAnsi"/>
          <w:color w:val="222222"/>
          <w:kern w:val="0"/>
          <w:sz w:val="24"/>
          <w:szCs w:val="24"/>
          <w:lang w:eastAsia="es-AR"/>
          <w14:ligatures w14:val="none"/>
        </w:rPr>
      </w:pPr>
      <w:hyperlink r:id="rId13" w:tgtFrame="_blank" w:history="1">
        <w:r w:rsidR="00967FE4" w:rsidRPr="00967FE4">
          <w:rPr>
            <w:rFonts w:eastAsia="Times New Roman" w:cstheme="minorHAnsi"/>
            <w:color w:val="0563C1"/>
            <w:kern w:val="0"/>
            <w:sz w:val="24"/>
            <w:szCs w:val="24"/>
            <w:u w:val="single"/>
            <w:lang w:val="es-ES" w:eastAsia="es-AR"/>
            <w14:ligatures w14:val="none"/>
          </w:rPr>
          <w:t>constanzacilley@voicesconsultancy.com</w:t>
        </w:r>
      </w:hyperlink>
    </w:p>
    <w:p w14:paraId="188650A5" w14:textId="77777777" w:rsidR="00B609F7" w:rsidRPr="00A077CD" w:rsidRDefault="00967FE4" w:rsidP="007F44CE">
      <w:pPr>
        <w:shd w:val="clear" w:color="auto" w:fill="FFFFFF"/>
        <w:spacing w:after="0" w:line="276" w:lineRule="auto"/>
        <w:jc w:val="both"/>
        <w:rPr>
          <w:rFonts w:eastAsia="Times New Roman" w:cstheme="minorHAnsi"/>
          <w:color w:val="222222"/>
          <w:kern w:val="0"/>
          <w:sz w:val="24"/>
          <w:szCs w:val="24"/>
          <w:lang w:eastAsia="es-AR"/>
          <w14:ligatures w14:val="none"/>
        </w:rPr>
      </w:pPr>
      <w:r w:rsidRPr="00967FE4">
        <w:rPr>
          <w:rFonts w:eastAsia="Times New Roman" w:cstheme="minorHAnsi"/>
          <w:b/>
          <w:bCs/>
          <w:color w:val="222222"/>
          <w:kern w:val="0"/>
          <w:sz w:val="24"/>
          <w:szCs w:val="24"/>
          <w:lang w:val="es-ES" w:eastAsia="es-AR"/>
          <w14:ligatures w14:val="none"/>
        </w:rPr>
        <w:t>Cel: 1565724467</w:t>
      </w:r>
    </w:p>
    <w:sectPr w:rsidR="00B609F7" w:rsidRPr="00A077CD" w:rsidSect="007F44CE">
      <w:head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FD94" w14:textId="77777777" w:rsidR="00B74A4C" w:rsidRDefault="00B74A4C">
      <w:pPr>
        <w:spacing w:after="0" w:line="240" w:lineRule="auto"/>
      </w:pPr>
      <w:r>
        <w:separator/>
      </w:r>
    </w:p>
  </w:endnote>
  <w:endnote w:type="continuationSeparator" w:id="0">
    <w:p w14:paraId="140A2B51" w14:textId="77777777" w:rsidR="00B74A4C" w:rsidRDefault="00B7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E5913" w14:textId="77777777" w:rsidR="00B74A4C" w:rsidRDefault="00B74A4C">
      <w:pPr>
        <w:spacing w:after="0" w:line="240" w:lineRule="auto"/>
      </w:pPr>
      <w:r>
        <w:separator/>
      </w:r>
    </w:p>
  </w:footnote>
  <w:footnote w:type="continuationSeparator" w:id="0">
    <w:p w14:paraId="6AA09C9F" w14:textId="77777777" w:rsidR="00B74A4C" w:rsidRDefault="00B74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19A07" w14:textId="77777777" w:rsidR="00ED6B66" w:rsidRDefault="00B74A4C">
    <w:pPr>
      <w:pStyle w:val="Encabezado"/>
      <w:tabs>
        <w:tab w:val="clear" w:pos="9072"/>
        <w:tab w:val="right" w:pos="90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92"/>
    <w:rsid w:val="00004B2E"/>
    <w:rsid w:val="000C79BD"/>
    <w:rsid w:val="000D4B81"/>
    <w:rsid w:val="00137193"/>
    <w:rsid w:val="001E253F"/>
    <w:rsid w:val="00226D43"/>
    <w:rsid w:val="0026757A"/>
    <w:rsid w:val="002F1173"/>
    <w:rsid w:val="00306EA9"/>
    <w:rsid w:val="00312E05"/>
    <w:rsid w:val="00352348"/>
    <w:rsid w:val="00396416"/>
    <w:rsid w:val="003B5B41"/>
    <w:rsid w:val="003C45C9"/>
    <w:rsid w:val="00416D2C"/>
    <w:rsid w:val="004E1FAA"/>
    <w:rsid w:val="004E3C94"/>
    <w:rsid w:val="00514AA8"/>
    <w:rsid w:val="005371D3"/>
    <w:rsid w:val="005B7BCC"/>
    <w:rsid w:val="00602387"/>
    <w:rsid w:val="0063466F"/>
    <w:rsid w:val="00635C92"/>
    <w:rsid w:val="00693258"/>
    <w:rsid w:val="006E21EF"/>
    <w:rsid w:val="006E42AC"/>
    <w:rsid w:val="00727EFC"/>
    <w:rsid w:val="007374C4"/>
    <w:rsid w:val="0074531C"/>
    <w:rsid w:val="007739C5"/>
    <w:rsid w:val="007F1B6D"/>
    <w:rsid w:val="007F44CE"/>
    <w:rsid w:val="008073D8"/>
    <w:rsid w:val="008816C2"/>
    <w:rsid w:val="00893624"/>
    <w:rsid w:val="008F34BA"/>
    <w:rsid w:val="00905052"/>
    <w:rsid w:val="009302AB"/>
    <w:rsid w:val="00945139"/>
    <w:rsid w:val="00963531"/>
    <w:rsid w:val="00967FE4"/>
    <w:rsid w:val="00997C63"/>
    <w:rsid w:val="009B678F"/>
    <w:rsid w:val="009F7A2B"/>
    <w:rsid w:val="00A077CD"/>
    <w:rsid w:val="00A35519"/>
    <w:rsid w:val="00A62858"/>
    <w:rsid w:val="00A9223C"/>
    <w:rsid w:val="00AB4EC2"/>
    <w:rsid w:val="00AD4100"/>
    <w:rsid w:val="00B04370"/>
    <w:rsid w:val="00B14D0D"/>
    <w:rsid w:val="00B249C1"/>
    <w:rsid w:val="00B609F7"/>
    <w:rsid w:val="00B74A4C"/>
    <w:rsid w:val="00BA1AAC"/>
    <w:rsid w:val="00BA7FDA"/>
    <w:rsid w:val="00BE1CE6"/>
    <w:rsid w:val="00C62F7D"/>
    <w:rsid w:val="00CB243E"/>
    <w:rsid w:val="00CD0222"/>
    <w:rsid w:val="00D21D2A"/>
    <w:rsid w:val="00D40D8A"/>
    <w:rsid w:val="00D66211"/>
    <w:rsid w:val="00DA7868"/>
    <w:rsid w:val="00E15196"/>
    <w:rsid w:val="00E16AA8"/>
    <w:rsid w:val="00E31216"/>
    <w:rsid w:val="00E33D52"/>
    <w:rsid w:val="00EB2DAA"/>
    <w:rsid w:val="00EE2516"/>
    <w:rsid w:val="00F15C57"/>
    <w:rsid w:val="00F457A0"/>
    <w:rsid w:val="00F85DC2"/>
    <w:rsid w:val="00FB7D4E"/>
    <w:rsid w:val="00FF32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C191"/>
  <w15:chartTrackingRefBased/>
  <w15:docId w15:val="{816ADDC4-0ADF-4B4F-B98C-0BE3551B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B609F7"/>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kern w:val="0"/>
      <w:u w:color="000000"/>
      <w:bdr w:val="nil"/>
      <w:lang w:val="bg-BG" w:eastAsia="bg-BG"/>
      <w14:ligatures w14:val="none"/>
    </w:rPr>
  </w:style>
  <w:style w:type="character" w:customStyle="1" w:styleId="EncabezadoCar">
    <w:name w:val="Encabezado Car"/>
    <w:basedOn w:val="Fuentedeprrafopredeter"/>
    <w:link w:val="Encabezado"/>
    <w:rsid w:val="00B609F7"/>
    <w:rPr>
      <w:rFonts w:ascii="Calibri" w:eastAsia="Arial Unicode MS" w:hAnsi="Calibri" w:cs="Arial Unicode MS"/>
      <w:color w:val="000000"/>
      <w:kern w:val="0"/>
      <w:u w:color="000000"/>
      <w:bdr w:val="nil"/>
      <w:lang w:val="bg-BG" w:eastAsia="bg-BG"/>
      <w14:ligatures w14:val="none"/>
    </w:rPr>
  </w:style>
  <w:style w:type="paragraph" w:styleId="Piedepgina">
    <w:name w:val="footer"/>
    <w:link w:val="PiedepginaCar"/>
    <w:rsid w:val="00B609F7"/>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kern w:val="0"/>
      <w:u w:color="000000"/>
      <w:bdr w:val="nil"/>
      <w:lang w:val="bg-BG" w:eastAsia="bg-BG"/>
      <w14:ligatures w14:val="none"/>
    </w:rPr>
  </w:style>
  <w:style w:type="character" w:customStyle="1" w:styleId="PiedepginaCar">
    <w:name w:val="Pie de página Car"/>
    <w:basedOn w:val="Fuentedeprrafopredeter"/>
    <w:link w:val="Piedepgina"/>
    <w:rsid w:val="00B609F7"/>
    <w:rPr>
      <w:rFonts w:ascii="Calibri" w:eastAsia="Arial Unicode MS" w:hAnsi="Calibri" w:cs="Arial Unicode MS"/>
      <w:color w:val="000000"/>
      <w:kern w:val="0"/>
      <w:u w:color="000000"/>
      <w:bdr w:val="nil"/>
      <w:lang w:val="bg-BG" w:eastAsia="bg-BG"/>
      <w14:ligatures w14:val="none"/>
    </w:rPr>
  </w:style>
  <w:style w:type="paragraph" w:customStyle="1" w:styleId="BodyB">
    <w:name w:val="Body B"/>
    <w:rsid w:val="00B609F7"/>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bg-BG"/>
      <w14:textOutline w14:w="12700" w14:cap="flat" w14:cmpd="sng" w14:algn="ctr">
        <w14:noFill/>
        <w14:prstDash w14:val="solid"/>
        <w14:miter w14:lim="400000"/>
      </w14:textOutline>
      <w14:ligatures w14:val="none"/>
    </w:rPr>
  </w:style>
  <w:style w:type="paragraph" w:customStyle="1" w:styleId="Default">
    <w:name w:val="Default"/>
    <w:rsid w:val="00B609F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val="en-US" w:eastAsia="bg-BG"/>
      <w14:textOutline w14:w="12700" w14:cap="flat" w14:cmpd="sng" w14:algn="ctr">
        <w14:noFill/>
        <w14:prstDash w14:val="solid"/>
        <w14:miter w14:lim="400000"/>
      </w14:textOutline>
      <w14:ligatures w14:val="none"/>
    </w:rPr>
  </w:style>
  <w:style w:type="character" w:customStyle="1" w:styleId="None">
    <w:name w:val="None"/>
    <w:rsid w:val="00B609F7"/>
  </w:style>
  <w:style w:type="character" w:customStyle="1" w:styleId="Hyperlink0">
    <w:name w:val="Hyperlink.0"/>
    <w:basedOn w:val="None"/>
    <w:rsid w:val="00B609F7"/>
    <w:rPr>
      <w:rFonts w:ascii="Calibri" w:eastAsia="Calibri" w:hAnsi="Calibri" w:cs="Calibri"/>
      <w:i/>
      <w:iCs/>
      <w:outline w:val="0"/>
      <w:color w:val="0563C0"/>
      <w:sz w:val="24"/>
      <w:szCs w:val="24"/>
      <w:u w:val="single" w:color="0563C0"/>
      <w:shd w:val="clear" w:color="auto" w:fill="FFFFFF"/>
    </w:rPr>
  </w:style>
  <w:style w:type="paragraph" w:styleId="Textosinformato">
    <w:name w:val="Plain Text"/>
    <w:link w:val="TextosinformatoCar"/>
    <w:uiPriority w:val="99"/>
    <w:rsid w:val="00B609F7"/>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val="en-US" w:eastAsia="bg-BG"/>
      <w14:ligatures w14:val="none"/>
    </w:rPr>
  </w:style>
  <w:style w:type="character" w:customStyle="1" w:styleId="TextosinformatoCar">
    <w:name w:val="Texto sin formato Car"/>
    <w:basedOn w:val="Fuentedeprrafopredeter"/>
    <w:link w:val="Textosinformato"/>
    <w:uiPriority w:val="99"/>
    <w:rsid w:val="00B609F7"/>
    <w:rPr>
      <w:rFonts w:ascii="Calibri" w:eastAsia="Calibri" w:hAnsi="Calibri" w:cs="Calibri"/>
      <w:color w:val="000000"/>
      <w:kern w:val="0"/>
      <w:u w:color="000000"/>
      <w:bdr w:val="nil"/>
      <w:lang w:val="en-US" w:eastAsia="bg-BG"/>
      <w14:ligatures w14:val="none"/>
    </w:rPr>
  </w:style>
  <w:style w:type="paragraph" w:customStyle="1" w:styleId="s4">
    <w:name w:val="s4"/>
    <w:rsid w:val="00B609F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val="en-US" w:eastAsia="bg-BG"/>
      <w14:ligatures w14:val="none"/>
    </w:rPr>
  </w:style>
  <w:style w:type="character" w:customStyle="1" w:styleId="bumpedfont15">
    <w:name w:val="bumpedfont15"/>
    <w:rsid w:val="00B609F7"/>
  </w:style>
  <w:style w:type="character" w:styleId="Hipervnculo">
    <w:name w:val="Hyperlink"/>
    <w:basedOn w:val="Fuentedeprrafopredeter"/>
    <w:uiPriority w:val="99"/>
    <w:unhideWhenUsed/>
    <w:rsid w:val="00967FE4"/>
    <w:rPr>
      <w:color w:val="0000FF"/>
      <w:u w:val="single"/>
    </w:rPr>
  </w:style>
  <w:style w:type="character" w:customStyle="1" w:styleId="Mencinsinresolver1">
    <w:name w:val="Mención sin resolver1"/>
    <w:basedOn w:val="Fuentedeprrafopredeter"/>
    <w:uiPriority w:val="99"/>
    <w:semiHidden/>
    <w:unhideWhenUsed/>
    <w:rsid w:val="00416D2C"/>
    <w:rPr>
      <w:color w:val="605E5C"/>
      <w:shd w:val="clear" w:color="auto" w:fill="E1DFDD"/>
    </w:rPr>
  </w:style>
  <w:style w:type="paragraph" w:styleId="NormalWeb">
    <w:name w:val="Normal (Web)"/>
    <w:basedOn w:val="Normal"/>
    <w:uiPriority w:val="99"/>
    <w:unhideWhenUsed/>
    <w:rsid w:val="000C79BD"/>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518">
      <w:bodyDiv w:val="1"/>
      <w:marLeft w:val="0"/>
      <w:marRight w:val="0"/>
      <w:marTop w:val="0"/>
      <w:marBottom w:val="0"/>
      <w:divBdr>
        <w:top w:val="none" w:sz="0" w:space="0" w:color="auto"/>
        <w:left w:val="none" w:sz="0" w:space="0" w:color="auto"/>
        <w:bottom w:val="none" w:sz="0" w:space="0" w:color="auto"/>
        <w:right w:val="none" w:sz="0" w:space="0" w:color="auto"/>
      </w:divBdr>
    </w:div>
    <w:div w:id="194931163">
      <w:bodyDiv w:val="1"/>
      <w:marLeft w:val="0"/>
      <w:marRight w:val="0"/>
      <w:marTop w:val="0"/>
      <w:marBottom w:val="0"/>
      <w:divBdr>
        <w:top w:val="none" w:sz="0" w:space="0" w:color="auto"/>
        <w:left w:val="none" w:sz="0" w:space="0" w:color="auto"/>
        <w:bottom w:val="none" w:sz="0" w:space="0" w:color="auto"/>
        <w:right w:val="none" w:sz="0" w:space="0" w:color="auto"/>
      </w:divBdr>
    </w:div>
    <w:div w:id="432212378">
      <w:bodyDiv w:val="1"/>
      <w:marLeft w:val="0"/>
      <w:marRight w:val="0"/>
      <w:marTop w:val="0"/>
      <w:marBottom w:val="0"/>
      <w:divBdr>
        <w:top w:val="none" w:sz="0" w:space="0" w:color="auto"/>
        <w:left w:val="none" w:sz="0" w:space="0" w:color="auto"/>
        <w:bottom w:val="none" w:sz="0" w:space="0" w:color="auto"/>
        <w:right w:val="none" w:sz="0" w:space="0" w:color="auto"/>
      </w:divBdr>
    </w:div>
    <w:div w:id="809439557">
      <w:bodyDiv w:val="1"/>
      <w:marLeft w:val="0"/>
      <w:marRight w:val="0"/>
      <w:marTop w:val="0"/>
      <w:marBottom w:val="0"/>
      <w:divBdr>
        <w:top w:val="none" w:sz="0" w:space="0" w:color="auto"/>
        <w:left w:val="none" w:sz="0" w:space="0" w:color="auto"/>
        <w:bottom w:val="none" w:sz="0" w:space="0" w:color="auto"/>
        <w:right w:val="none" w:sz="0" w:space="0" w:color="auto"/>
      </w:divBdr>
      <w:divsChild>
        <w:div w:id="1254778905">
          <w:marLeft w:val="0"/>
          <w:marRight w:val="0"/>
          <w:marTop w:val="0"/>
          <w:marBottom w:val="0"/>
          <w:divBdr>
            <w:top w:val="none" w:sz="0" w:space="0" w:color="auto"/>
            <w:left w:val="none" w:sz="0" w:space="0" w:color="auto"/>
            <w:bottom w:val="none" w:sz="0" w:space="0" w:color="auto"/>
            <w:right w:val="none" w:sz="0" w:space="0" w:color="auto"/>
          </w:divBdr>
        </w:div>
      </w:divsChild>
    </w:div>
    <w:div w:id="854613699">
      <w:bodyDiv w:val="1"/>
      <w:marLeft w:val="0"/>
      <w:marRight w:val="0"/>
      <w:marTop w:val="0"/>
      <w:marBottom w:val="0"/>
      <w:divBdr>
        <w:top w:val="none" w:sz="0" w:space="0" w:color="auto"/>
        <w:left w:val="none" w:sz="0" w:space="0" w:color="auto"/>
        <w:bottom w:val="none" w:sz="0" w:space="0" w:color="auto"/>
        <w:right w:val="none" w:sz="0" w:space="0" w:color="auto"/>
      </w:divBdr>
    </w:div>
    <w:div w:id="1360856507">
      <w:bodyDiv w:val="1"/>
      <w:marLeft w:val="0"/>
      <w:marRight w:val="0"/>
      <w:marTop w:val="0"/>
      <w:marBottom w:val="0"/>
      <w:divBdr>
        <w:top w:val="none" w:sz="0" w:space="0" w:color="auto"/>
        <w:left w:val="none" w:sz="0" w:space="0" w:color="auto"/>
        <w:bottom w:val="none" w:sz="0" w:space="0" w:color="auto"/>
        <w:right w:val="none" w:sz="0" w:space="0" w:color="auto"/>
      </w:divBdr>
    </w:div>
    <w:div w:id="1641687083">
      <w:bodyDiv w:val="1"/>
      <w:marLeft w:val="0"/>
      <w:marRight w:val="0"/>
      <w:marTop w:val="0"/>
      <w:marBottom w:val="0"/>
      <w:divBdr>
        <w:top w:val="none" w:sz="0" w:space="0" w:color="auto"/>
        <w:left w:val="none" w:sz="0" w:space="0" w:color="auto"/>
        <w:bottom w:val="none" w:sz="0" w:space="0" w:color="auto"/>
        <w:right w:val="none" w:sz="0" w:space="0" w:color="auto"/>
      </w:divBdr>
    </w:div>
    <w:div w:id="21394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stanzacilley@voicesconsultanc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oicesconsultanc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autoTitleDeleted val="1"/>
    <c:plotArea>
      <c:layout>
        <c:manualLayout>
          <c:layoutTarget val="inner"/>
          <c:xMode val="edge"/>
          <c:yMode val="edge"/>
          <c:x val="0.12848435160355498"/>
          <c:y val="6.0109289617486336E-2"/>
          <c:w val="0.804993594889576"/>
          <c:h val="0.88524590163934425"/>
        </c:manualLayout>
      </c:layout>
      <c:barChart>
        <c:barDir val="bar"/>
        <c:grouping val="stacked"/>
        <c:varyColors val="0"/>
        <c:ser>
          <c:idx val="0"/>
          <c:order val="0"/>
          <c:tx>
            <c:strRef>
              <c:f>Sheet1!$B$1</c:f>
              <c:strCache>
                <c:ptCount val="1"/>
                <c:pt idx="0">
                  <c:v>Live in another country</c:v>
                </c:pt>
              </c:strCache>
            </c:strRef>
          </c:tx>
          <c:spPr>
            <a:solidFill>
              <a:srgbClr val="0070C0"/>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65 y +</c:v>
                </c:pt>
                <c:pt idx="1">
                  <c:v>50-65</c:v>
                </c:pt>
                <c:pt idx="2">
                  <c:v>35-39</c:v>
                </c:pt>
                <c:pt idx="3">
                  <c:v>25-34</c:v>
                </c:pt>
                <c:pt idx="4">
                  <c:v>16-24</c:v>
                </c:pt>
              </c:strCache>
            </c:strRef>
          </c:cat>
          <c:val>
            <c:numRef>
              <c:f>Sheet1!$B$2:$B$6</c:f>
              <c:numCache>
                <c:formatCode>0%</c:formatCode>
                <c:ptCount val="5"/>
                <c:pt idx="0">
                  <c:v>0.36</c:v>
                </c:pt>
                <c:pt idx="1">
                  <c:v>0.43</c:v>
                </c:pt>
                <c:pt idx="2">
                  <c:v>0.55000000000000004</c:v>
                </c:pt>
                <c:pt idx="3">
                  <c:v>0.61</c:v>
                </c:pt>
                <c:pt idx="4">
                  <c:v>0.64</c:v>
                </c:pt>
              </c:numCache>
            </c:numRef>
          </c:val>
          <c:extLst>
            <c:ext xmlns:c16="http://schemas.microsoft.com/office/drawing/2014/chart" uri="{C3380CC4-5D6E-409C-BE32-E72D297353CC}">
              <c16:uniqueId val="{00000000-BA3F-4317-846C-58E0A1BB7BC2}"/>
            </c:ext>
          </c:extLst>
        </c:ser>
        <c:ser>
          <c:idx val="1"/>
          <c:order val="1"/>
          <c:tx>
            <c:strRef>
              <c:f>Sheet1!$C$1</c:f>
              <c:strCache>
                <c:ptCount val="1"/>
                <c:pt idx="0">
                  <c:v>Remain where we are</c:v>
                </c:pt>
              </c:strCache>
            </c:strRef>
          </c:tx>
          <c:spPr>
            <a:solidFill>
              <a:srgbClr val="C00000"/>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65 y +</c:v>
                </c:pt>
                <c:pt idx="1">
                  <c:v>50-65</c:v>
                </c:pt>
                <c:pt idx="2">
                  <c:v>35-39</c:v>
                </c:pt>
                <c:pt idx="3">
                  <c:v>25-34</c:v>
                </c:pt>
                <c:pt idx="4">
                  <c:v>16-24</c:v>
                </c:pt>
              </c:strCache>
            </c:strRef>
          </c:cat>
          <c:val>
            <c:numRef>
              <c:f>Sheet1!$C$2:$C$6</c:f>
              <c:numCache>
                <c:formatCode>0%</c:formatCode>
                <c:ptCount val="5"/>
                <c:pt idx="0">
                  <c:v>0.63</c:v>
                </c:pt>
                <c:pt idx="1">
                  <c:v>0.51</c:v>
                </c:pt>
                <c:pt idx="2">
                  <c:v>0.38</c:v>
                </c:pt>
                <c:pt idx="3">
                  <c:v>0.35</c:v>
                </c:pt>
                <c:pt idx="4">
                  <c:v>0.3</c:v>
                </c:pt>
              </c:numCache>
            </c:numRef>
          </c:val>
          <c:extLst>
            <c:ext xmlns:c16="http://schemas.microsoft.com/office/drawing/2014/chart" uri="{C3380CC4-5D6E-409C-BE32-E72D297353CC}">
              <c16:uniqueId val="{00000001-BA3F-4317-846C-58E0A1BB7BC2}"/>
            </c:ext>
          </c:extLst>
        </c:ser>
        <c:ser>
          <c:idx val="2"/>
          <c:order val="2"/>
          <c:tx>
            <c:strRef>
              <c:f>Sheet1!$D$1</c:f>
              <c:strCache>
                <c:ptCount val="1"/>
                <c:pt idx="0">
                  <c:v>Don't know</c:v>
                </c:pt>
              </c:strCache>
            </c:strRef>
          </c:tx>
          <c:spPr>
            <a:solidFill>
              <a:schemeClr val="bg1">
                <a:lumMod val="75000"/>
              </a:schemeClr>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65 y +</c:v>
                </c:pt>
                <c:pt idx="1">
                  <c:v>50-65</c:v>
                </c:pt>
                <c:pt idx="2">
                  <c:v>35-39</c:v>
                </c:pt>
                <c:pt idx="3">
                  <c:v>25-34</c:v>
                </c:pt>
                <c:pt idx="4">
                  <c:v>16-24</c:v>
                </c:pt>
              </c:strCache>
            </c:strRef>
          </c:cat>
          <c:val>
            <c:numRef>
              <c:f>Sheet1!$D$2:$D$6</c:f>
              <c:numCache>
                <c:formatCode>0%</c:formatCode>
                <c:ptCount val="5"/>
                <c:pt idx="0">
                  <c:v>0.02</c:v>
                </c:pt>
                <c:pt idx="1">
                  <c:v>0.06</c:v>
                </c:pt>
                <c:pt idx="2">
                  <c:v>7.0000000000000007E-2</c:v>
                </c:pt>
                <c:pt idx="3">
                  <c:v>0.04</c:v>
                </c:pt>
                <c:pt idx="4">
                  <c:v>7.0000000000000007E-2</c:v>
                </c:pt>
              </c:numCache>
            </c:numRef>
          </c:val>
          <c:extLst>
            <c:ext xmlns:c16="http://schemas.microsoft.com/office/drawing/2014/chart" uri="{C3380CC4-5D6E-409C-BE32-E72D297353CC}">
              <c16:uniqueId val="{00000002-BA3F-4317-846C-58E0A1BB7BC2}"/>
            </c:ext>
          </c:extLst>
        </c:ser>
        <c:dLbls>
          <c:dLblPos val="ctr"/>
          <c:showLegendKey val="0"/>
          <c:showVal val="1"/>
          <c:showCatName val="0"/>
          <c:showSerName val="0"/>
          <c:showPercent val="0"/>
          <c:showBubbleSize val="0"/>
        </c:dLbls>
        <c:gapWidth val="182"/>
        <c:overlap val="100"/>
        <c:axId val="358803184"/>
        <c:axId val="358799264"/>
      </c:barChart>
      <c:catAx>
        <c:axId val="358803184"/>
        <c:scaling>
          <c:orientation val="minMax"/>
        </c:scaling>
        <c:delete val="0"/>
        <c:axPos val="l"/>
        <c:numFmt formatCode="General" sourceLinked="1"/>
        <c:majorTickMark val="out"/>
        <c:minorTickMark val="none"/>
        <c:tickLblPos val="nextTo"/>
        <c:spPr>
          <a:noFill/>
          <a:ln w="3175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358799264"/>
        <c:crosses val="autoZero"/>
        <c:auto val="1"/>
        <c:lblAlgn val="ctr"/>
        <c:lblOffset val="100"/>
        <c:noMultiLvlLbl val="0"/>
      </c:catAx>
      <c:valAx>
        <c:axId val="358799264"/>
        <c:scaling>
          <c:orientation val="minMax"/>
        </c:scaling>
        <c:delete val="1"/>
        <c:axPos val="b"/>
        <c:numFmt formatCode="0%" sourceLinked="1"/>
        <c:majorTickMark val="out"/>
        <c:minorTickMark val="none"/>
        <c:tickLblPos val="nextTo"/>
        <c:crossAx val="358803184"/>
        <c:crosses val="autoZero"/>
        <c:crossBetween val="between"/>
      </c:valAx>
      <c:spPr>
        <a:noFill/>
        <a:ln w="15875">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573363431151242E-2"/>
          <c:y val="0"/>
          <c:w val="0.95485327313769752"/>
          <c:h val="0.80922335993521777"/>
        </c:manualLayout>
      </c:layout>
      <c:lineChart>
        <c:grouping val="standard"/>
        <c:varyColors val="0"/>
        <c:ser>
          <c:idx val="0"/>
          <c:order val="0"/>
          <c:tx>
            <c:strRef>
              <c:f>Hoja1!$B$1</c:f>
              <c:strCache>
                <c:ptCount val="1"/>
                <c:pt idx="0">
                  <c:v>Serie 1</c:v>
                </c:pt>
              </c:strCache>
            </c:strRef>
          </c:tx>
          <c:spPr>
            <a:ln w="127000" cap="rnd">
              <a:solidFill>
                <a:schemeClr val="accent1">
                  <a:alpha val="70000"/>
                </a:schemeClr>
              </a:solidFill>
              <a:round/>
            </a:ln>
            <a:effectLst/>
          </c:spPr>
          <c:marker>
            <c:symbol val="circle"/>
            <c:size val="10"/>
            <c:spPr>
              <a:solidFill>
                <a:schemeClr val="accent1"/>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Hoja1!$A$2:$A$10</c:f>
              <c:numCache>
                <c:formatCode>mmm\-yy</c:formatCode>
                <c:ptCount val="9"/>
                <c:pt idx="0">
                  <c:v>32203</c:v>
                </c:pt>
                <c:pt idx="1">
                  <c:v>33025</c:v>
                </c:pt>
                <c:pt idx="2">
                  <c:v>34639</c:v>
                </c:pt>
                <c:pt idx="3">
                  <c:v>35278</c:v>
                </c:pt>
                <c:pt idx="4">
                  <c:v>37408</c:v>
                </c:pt>
                <c:pt idx="5">
                  <c:v>39264</c:v>
                </c:pt>
                <c:pt idx="6">
                  <c:v>44136</c:v>
                </c:pt>
                <c:pt idx="7">
                  <c:v>44348</c:v>
                </c:pt>
                <c:pt idx="8">
                  <c:v>44774</c:v>
                </c:pt>
              </c:numCache>
            </c:numRef>
          </c:cat>
          <c:val>
            <c:numRef>
              <c:f>Hoja1!$B$2:$B$10</c:f>
              <c:numCache>
                <c:formatCode>0%</c:formatCode>
                <c:ptCount val="9"/>
                <c:pt idx="0">
                  <c:v>0.28999999999999998</c:v>
                </c:pt>
                <c:pt idx="1">
                  <c:v>0.24</c:v>
                </c:pt>
                <c:pt idx="2">
                  <c:v>0.16</c:v>
                </c:pt>
                <c:pt idx="3">
                  <c:v>0.24</c:v>
                </c:pt>
                <c:pt idx="4">
                  <c:v>0.27</c:v>
                </c:pt>
                <c:pt idx="5">
                  <c:v>0.2</c:v>
                </c:pt>
                <c:pt idx="6">
                  <c:v>0.37</c:v>
                </c:pt>
                <c:pt idx="7">
                  <c:v>0.53</c:v>
                </c:pt>
                <c:pt idx="8">
                  <c:v>0.54</c:v>
                </c:pt>
              </c:numCache>
            </c:numRef>
          </c:val>
          <c:smooth val="1"/>
          <c:extLst>
            <c:ext xmlns:c16="http://schemas.microsoft.com/office/drawing/2014/chart" uri="{C3380CC4-5D6E-409C-BE32-E72D297353CC}">
              <c16:uniqueId val="{00000000-867B-4C7E-BFE5-A10CCB5CD301}"/>
            </c:ext>
          </c:extLst>
        </c:ser>
        <c:dLbls>
          <c:dLblPos val="t"/>
          <c:showLegendKey val="0"/>
          <c:showVal val="1"/>
          <c:showCatName val="0"/>
          <c:showSerName val="0"/>
          <c:showPercent val="0"/>
          <c:showBubbleSize val="0"/>
        </c:dLbls>
        <c:marker val="1"/>
        <c:smooth val="0"/>
        <c:axId val="419341199"/>
        <c:axId val="419319983"/>
      </c:lineChart>
      <c:catAx>
        <c:axId val="419341199"/>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19319983"/>
        <c:crosses val="autoZero"/>
        <c:auto val="0"/>
        <c:lblAlgn val="ctr"/>
        <c:lblOffset val="100"/>
        <c:noMultiLvlLbl val="0"/>
      </c:catAx>
      <c:valAx>
        <c:axId val="419319983"/>
        <c:scaling>
          <c:orientation val="minMax"/>
        </c:scaling>
        <c:delete val="1"/>
        <c:axPos val="l"/>
        <c:numFmt formatCode="0%" sourceLinked="1"/>
        <c:majorTickMark val="none"/>
        <c:minorTickMark val="none"/>
        <c:tickLblPos val="nextTo"/>
        <c:crossAx val="41934119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Live in another country</c:v>
                </c:pt>
              </c:strCache>
            </c:strRef>
          </c:tx>
          <c:spPr>
            <a:solidFill>
              <a:srgbClr val="0070C0"/>
            </a:solidFill>
            <a:ln>
              <a:solidFill>
                <a:srgbClr val="0070C0"/>
              </a:solidFill>
            </a:ln>
            <a:effectLst/>
          </c:spPr>
          <c:invertIfNegative val="0"/>
          <c:dLbls>
            <c:dLbl>
              <c:idx val="1"/>
              <c:layout>
                <c:manualLayout>
                  <c:x val="4.971501941625955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1D-4895-8795-5CE2941B9C67}"/>
                </c:ext>
              </c:extLst>
            </c:dLbl>
            <c:dLbl>
              <c:idx val="2"/>
              <c:layout>
                <c:manualLayout>
                  <c:x val="-1.9886007766503821E-3"/>
                  <c:y val="1.213003396338903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1D-4895-8795-5CE2941B9C67}"/>
                </c:ext>
              </c:extLst>
            </c:dLbl>
            <c:dLbl>
              <c:idx val="3"/>
              <c:layout>
                <c:manualLayout>
                  <c:x val="-9.3464236502567993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1D-4895-8795-5CE2941B9C67}"/>
                </c:ext>
              </c:extLst>
            </c:dLbl>
            <c:dLbl>
              <c:idx val="4"/>
              <c:layout>
                <c:manualLayout>
                  <c:x val="4.772641863960917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1D-4895-8795-5CE2941B9C67}"/>
                </c:ext>
              </c:extLst>
            </c:dLbl>
            <c:dLbl>
              <c:idx val="5"/>
              <c:layout>
                <c:manualLayout>
                  <c:x val="-4.772641863960917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1D-4895-8795-5CE2941B9C67}"/>
                </c:ext>
              </c:extLst>
            </c:dLbl>
            <c:dLbl>
              <c:idx val="6"/>
              <c:layout>
                <c:manualLayout>
                  <c:x val="-0.10141863960916948"/>
                  <c:y val="1.2130033965507222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1D-4895-8795-5CE2941B9C67}"/>
                </c:ext>
              </c:extLst>
            </c:dLbl>
            <c:dLbl>
              <c:idx val="7"/>
              <c:layout>
                <c:manualLayout>
                  <c:x val="-2.784041087310542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1D-4895-8795-5CE2941B9C67}"/>
                </c:ext>
              </c:extLst>
            </c:dLbl>
            <c:dLbl>
              <c:idx val="8"/>
              <c:layout>
                <c:manualLayout>
                  <c:x val="5.766942252286107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1D-4895-8795-5CE2941B9C67}"/>
                </c:ext>
              </c:extLst>
            </c:dLbl>
            <c:dLbl>
              <c:idx val="9"/>
              <c:layout>
                <c:manualLayout>
                  <c:x val="-5.3692220969560313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1D-4895-8795-5CE2941B9C67}"/>
                </c:ext>
              </c:extLst>
            </c:dLbl>
            <c:dLbl>
              <c:idx val="11"/>
              <c:layout>
                <c:manualLayout>
                  <c:x val="3.3806213203056497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1D-4895-8795-5CE2941B9C67}"/>
                </c:ext>
              </c:extLst>
            </c:dLbl>
            <c:dLbl>
              <c:idx val="12"/>
              <c:layout>
                <c:manualLayout>
                  <c:x val="-4.97150194162595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A1D-4895-8795-5CE2941B9C67}"/>
                </c:ext>
              </c:extLst>
            </c:dLbl>
            <c:dLbl>
              <c:idx val="14"/>
              <c:layout>
                <c:manualLayout>
                  <c:x val="5.3692220969560243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A1D-4895-8795-5CE2941B9C67}"/>
                </c:ext>
              </c:extLst>
            </c:dLbl>
            <c:dLbl>
              <c:idx val="15"/>
              <c:layout>
                <c:manualLayout>
                  <c:x val="3.9772015533007642E-3"/>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A1D-4895-8795-5CE2941B9C67}"/>
                </c:ext>
              </c:extLst>
            </c:dLbl>
            <c:dLbl>
              <c:idx val="16"/>
              <c:layout>
                <c:manualLayout>
                  <c:x val="-9.7441438055868718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A1D-4895-8795-5CE2941B9C67}"/>
                </c:ext>
              </c:extLst>
            </c:dLbl>
            <c:dLbl>
              <c:idx val="17"/>
              <c:layout>
                <c:manualLayout>
                  <c:x val="-4.57378178629587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A1D-4895-8795-5CE2941B9C67}"/>
                </c:ext>
              </c:extLst>
            </c:dLbl>
            <c:dLbl>
              <c:idx val="18"/>
              <c:layout>
                <c:manualLayout>
                  <c:x val="-2.9829011649755804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A1D-4895-8795-5CE2941B9C67}"/>
                </c:ext>
              </c:extLst>
            </c:dLbl>
            <c:dLbl>
              <c:idx val="19"/>
              <c:layout>
                <c:manualLayout>
                  <c:x val="5.369222096956024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A1D-4895-8795-5CE2941B9C67}"/>
                </c:ext>
              </c:extLst>
            </c:dLbl>
            <c:dLbl>
              <c:idx val="20"/>
              <c:layout>
                <c:manualLayout>
                  <c:x val="-9.9430038832519135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A1D-4895-8795-5CE2941B9C67}"/>
                </c:ext>
              </c:extLst>
            </c:dLbl>
            <c:dLbl>
              <c:idx val="22"/>
              <c:layout>
                <c:manualLayout>
                  <c:x val="-6.1646624076161845E-2"/>
                  <c:y val="1.213003396974358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A1D-4895-8795-5CE2941B9C67}"/>
                </c:ext>
              </c:extLst>
            </c:dLbl>
            <c:dLbl>
              <c:idx val="23"/>
              <c:layout>
                <c:manualLayout>
                  <c:x val="-8.3521232619316085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A1D-4895-8795-5CE2941B9C67}"/>
                </c:ext>
              </c:extLst>
            </c:dLbl>
            <c:dLbl>
              <c:idx val="24"/>
              <c:layout>
                <c:manualLayout>
                  <c:x val="4.3749217086308405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A1D-4895-8795-5CE2941B9C67}"/>
                </c:ext>
              </c:extLst>
            </c:dLbl>
            <c:dLbl>
              <c:idx val="26"/>
              <c:layout>
                <c:manualLayout>
                  <c:x val="-5.5680821746210696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A1D-4895-8795-5CE2941B9C67}"/>
                </c:ext>
              </c:extLst>
            </c:dLbl>
            <c:dLbl>
              <c:idx val="28"/>
              <c:layout>
                <c:manualLayout>
                  <c:x val="-7.5566829512714512E-2"/>
                  <c:y val="1.213003396974358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A1D-4895-8795-5CE2941B9C67}"/>
                </c:ext>
              </c:extLst>
            </c:dLbl>
            <c:dLbl>
              <c:idx val="29"/>
              <c:layout>
                <c:manualLayout>
                  <c:x val="4.7726418639609171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A1D-4895-8795-5CE2941B9C67}"/>
                </c:ext>
              </c:extLst>
            </c:dLbl>
            <c:dLbl>
              <c:idx val="30"/>
              <c:layout>
                <c:manualLayout>
                  <c:x val="-1.9886007766503819E-2"/>
                  <c:y val="2.824243615403561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A1D-4895-8795-5CE2941B9C67}"/>
                </c:ext>
              </c:extLst>
            </c:dLbl>
            <c:dLbl>
              <c:idx val="31"/>
              <c:layout>
                <c:manualLayout>
                  <c:x val="5.170362019290986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A1D-4895-8795-5CE2941B9C67}"/>
                </c:ext>
              </c:extLst>
            </c:dLbl>
            <c:dLbl>
              <c:idx val="32"/>
              <c:layout>
                <c:manualLayout>
                  <c:x val="-4.57378178629587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A1D-4895-8795-5CE2941B9C67}"/>
                </c:ext>
              </c:extLst>
            </c:dLbl>
            <c:dLbl>
              <c:idx val="33"/>
              <c:layout>
                <c:manualLayout>
                  <c:x val="7.9544031066015285E-3"/>
                  <c:y val="1.213003397539207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A1D-4895-8795-5CE2941B9C67}"/>
                </c:ext>
              </c:extLst>
            </c:dLbl>
            <c:dLbl>
              <c:idx val="34"/>
              <c:layout>
                <c:manualLayout>
                  <c:x val="5.5680821746210696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CA1D-4895-8795-5CE2941B9C67}"/>
                </c:ext>
              </c:extLst>
            </c:dLbl>
            <c:dLbl>
              <c:idx val="35"/>
              <c:layout>
                <c:manualLayout>
                  <c:x val="-4.573781786295875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CA1D-4895-8795-5CE2941B9C67}"/>
                </c:ext>
              </c:extLst>
            </c:dLbl>
            <c:dLbl>
              <c:idx val="37"/>
              <c:layout>
                <c:manualLayout>
                  <c:x val="5.766942252286107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CA1D-4895-8795-5CE2941B9C67}"/>
                </c:ext>
              </c:extLst>
            </c:dLbl>
            <c:dLbl>
              <c:idx val="38"/>
              <c:layout>
                <c:manualLayout>
                  <c:x val="-4.772641863960920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CA1D-4895-8795-5CE2941B9C67}"/>
                </c:ext>
              </c:extLst>
            </c:dLbl>
            <c:dLbl>
              <c:idx val="40"/>
              <c:layout>
                <c:manualLayout>
                  <c:x val="8.1532631842665668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CA1D-4895-8795-5CE2941B9C67}"/>
                </c:ext>
              </c:extLst>
            </c:dLbl>
            <c:dLbl>
              <c:idx val="41"/>
              <c:layout>
                <c:manualLayout>
                  <c:x val="-6.562382562946260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CA1D-4895-8795-5CE2941B9C67}"/>
                </c:ext>
              </c:extLst>
            </c:dLbl>
            <c:dLbl>
              <c:idx val="43"/>
              <c:layout>
                <c:manualLayout>
                  <c:x val="4.772641863960909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CA1D-4895-8795-5CE2941B9C67}"/>
                </c:ext>
              </c:extLst>
            </c:dLbl>
            <c:dLbl>
              <c:idx val="44"/>
              <c:layout>
                <c:manualLayout>
                  <c:x val="-5.7669422522861079E-2"/>
                  <c:y val="1.213003397539207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CA1D-4895-8795-5CE2941B9C67}"/>
                </c:ext>
              </c:extLst>
            </c:dLbl>
            <c:dLbl>
              <c:idx val="45"/>
              <c:layout>
                <c:manualLayout>
                  <c:x val="-9.9430038832519097E-3"/>
                  <c:y val="1.213003397539207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CA1D-4895-8795-5CE2941B9C67}"/>
                </c:ext>
              </c:extLst>
            </c:dLbl>
            <c:dLbl>
              <c:idx val="46"/>
              <c:layout>
                <c:manualLayout>
                  <c:x val="3.778341475635725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CA1D-4895-8795-5CE2941B9C67}"/>
                </c:ext>
              </c:extLst>
            </c:dLbl>
            <c:dLbl>
              <c:idx val="47"/>
              <c:layout>
                <c:manualLayout>
                  <c:x val="-5.5680821746210696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CA1D-4895-8795-5CE2941B9C67}"/>
                </c:ext>
              </c:extLst>
            </c:dLbl>
            <c:dLbl>
              <c:idx val="48"/>
              <c:layout>
                <c:manualLayout>
                  <c:x val="-9.9430038832519097E-3"/>
                  <c:y val="1.213003397539207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CA1D-4895-8795-5CE2941B9C67}"/>
                </c:ext>
              </c:extLst>
            </c:dLbl>
            <c:dLbl>
              <c:idx val="49"/>
              <c:layout>
                <c:manualLayout>
                  <c:x val="5.1703620192909895E-2"/>
                  <c:y val="3.08127122755943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CA1D-4895-8795-5CE2941B9C67}"/>
                </c:ext>
              </c:extLst>
            </c:dLbl>
            <c:dLbl>
              <c:idx val="50"/>
              <c:layout>
                <c:manualLayout>
                  <c:x val="-4.5737817862958788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CA1D-4895-8795-5CE2941B9C67}"/>
                </c:ext>
              </c:extLst>
            </c:dLbl>
            <c:dLbl>
              <c:idx val="51"/>
              <c:layout>
                <c:manualLayout>
                  <c:x val="-3.9772015533007642E-3"/>
                  <c:y val="3.639010190358227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CA1D-4895-8795-5CE2941B9C67}"/>
                </c:ext>
              </c:extLst>
            </c:dLbl>
            <c:dLbl>
              <c:idx val="52"/>
              <c:layout>
                <c:manualLayout>
                  <c:x val="-3.7783414756357256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CA1D-4895-8795-5CE2941B9C67}"/>
                </c:ext>
              </c:extLst>
            </c:dLbl>
            <c:dLbl>
              <c:idx val="53"/>
              <c:layout>
                <c:manualLayout>
                  <c:x val="2.187460854315420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CA1D-4895-8795-5CE2941B9C67}"/>
                </c:ext>
              </c:extLst>
            </c:dLbl>
            <c:dLbl>
              <c:idx val="54"/>
              <c:layout>
                <c:manualLayout>
                  <c:x val="-4.9715019416259588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CA1D-4895-8795-5CE2941B9C67}"/>
                </c:ext>
              </c:extLst>
            </c:dLbl>
            <c:dLbl>
              <c:idx val="55"/>
              <c:layout>
                <c:manualLayout>
                  <c:x val="2.5851810096454968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CA1D-4895-8795-5CE2941B9C67}"/>
                </c:ext>
              </c:extLst>
            </c:dLbl>
            <c:dLbl>
              <c:idx val="56"/>
              <c:layout>
                <c:manualLayout>
                  <c:x val="1.590880621320305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CA1D-4895-8795-5CE2941B9C67}"/>
                </c:ext>
              </c:extLst>
            </c:dLbl>
            <c:spPr>
              <a:solidFill>
                <a:schemeClr val="bg1"/>
              </a:solidFill>
              <a:ln>
                <a:solidFill>
                  <a:srgbClr val="0070C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Sheet1!$A$2:$A$59</c:f>
              <c:strCache>
                <c:ptCount val="58"/>
                <c:pt idx="0">
                  <c:v>Promedio Global</c:v>
                </c:pt>
                <c:pt idx="1">
                  <c:v>Sierra Leona</c:v>
                </c:pt>
                <c:pt idx="2">
                  <c:v>Ghana</c:v>
                </c:pt>
                <c:pt idx="3">
                  <c:v>Nigeria</c:v>
                </c:pt>
                <c:pt idx="4">
                  <c:v>Siria</c:v>
                </c:pt>
                <c:pt idx="5">
                  <c:v>Filipinas</c:v>
                </c:pt>
                <c:pt idx="6">
                  <c:v>Argentina</c:v>
                </c:pt>
                <c:pt idx="7">
                  <c:v>Camerún </c:v>
                </c:pt>
                <c:pt idx="8">
                  <c:v>Bosnia y Herzegovina</c:v>
                </c:pt>
                <c:pt idx="9">
                  <c:v>Hungría </c:v>
                </c:pt>
                <c:pt idx="10">
                  <c:v>Afganistán</c:v>
                </c:pt>
                <c:pt idx="11">
                  <c:v>Jordania</c:v>
                </c:pt>
                <c:pt idx="12">
                  <c:v>Eslovaquia</c:v>
                </c:pt>
                <c:pt idx="13">
                  <c:v>Senegal</c:v>
                </c:pt>
                <c:pt idx="14">
                  <c:v>Macedonia del Norte</c:v>
                </c:pt>
                <c:pt idx="15">
                  <c:v>Territorios Palestinos*</c:v>
                </c:pt>
                <c:pt idx="16">
                  <c:v>Kenia</c:v>
                </c:pt>
                <c:pt idx="17">
                  <c:v>Grecia</c:v>
                </c:pt>
                <c:pt idx="18">
                  <c:v>Irak</c:v>
                </c:pt>
                <c:pt idx="19">
                  <c:v>Kosovo</c:v>
                </c:pt>
                <c:pt idx="20">
                  <c:v>Rumania</c:v>
                </c:pt>
                <c:pt idx="21">
                  <c:v>Polonia</c:v>
                </c:pt>
                <c:pt idx="22">
                  <c:v>Italia</c:v>
                </c:pt>
                <c:pt idx="23">
                  <c:v>Irlanda</c:v>
                </c:pt>
                <c:pt idx="24">
                  <c:v>Reino Unido</c:v>
                </c:pt>
                <c:pt idx="25">
                  <c:v>Luxermburgo</c:v>
                </c:pt>
                <c:pt idx="26">
                  <c:v>Croacia</c:v>
                </c:pt>
                <c:pt idx="27">
                  <c:v>Bélgica</c:v>
                </c:pt>
                <c:pt idx="28">
                  <c:v>Tailandia</c:v>
                </c:pt>
                <c:pt idx="29">
                  <c:v>República de Corea</c:v>
                </c:pt>
                <c:pt idx="30">
                  <c:v>Alemania</c:v>
                </c:pt>
                <c:pt idx="31">
                  <c:v>Portugal</c:v>
                </c:pt>
                <c:pt idx="32">
                  <c:v>Estados Unidos</c:v>
                </c:pt>
                <c:pt idx="33">
                  <c:v>Canadá </c:v>
                </c:pt>
                <c:pt idx="34">
                  <c:v>Hong Kong</c:v>
                </c:pt>
                <c:pt idx="35">
                  <c:v>Libia</c:v>
                </c:pt>
                <c:pt idx="36">
                  <c:v>República Checa</c:v>
                </c:pt>
                <c:pt idx="37">
                  <c:v>Francia</c:v>
                </c:pt>
                <c:pt idx="38">
                  <c:v>Emiratos Árabes Unidos</c:v>
                </c:pt>
                <c:pt idx="39">
                  <c:v>Países Bajos</c:v>
                </c:pt>
                <c:pt idx="40">
                  <c:v>Kazajistán</c:v>
                </c:pt>
                <c:pt idx="41">
                  <c:v>España</c:v>
                </c:pt>
                <c:pt idx="42">
                  <c:v>Armenia</c:v>
                </c:pt>
                <c:pt idx="43">
                  <c:v>Indonesia</c:v>
                </c:pt>
                <c:pt idx="44">
                  <c:v>Bulgaria</c:v>
                </c:pt>
                <c:pt idx="45">
                  <c:v>Israel</c:v>
                </c:pt>
                <c:pt idx="46">
                  <c:v>Suecia</c:v>
                </c:pt>
                <c:pt idx="47">
                  <c:v>Austria</c:v>
                </c:pt>
                <c:pt idx="48">
                  <c:v>Moldavia</c:v>
                </c:pt>
                <c:pt idx="49">
                  <c:v>Georgia</c:v>
                </c:pt>
                <c:pt idx="50">
                  <c:v>Suiza</c:v>
                </c:pt>
                <c:pt idx="51">
                  <c:v>Pakistán</c:v>
                </c:pt>
                <c:pt idx="52">
                  <c:v>Eslovenia</c:v>
                </c:pt>
                <c:pt idx="53">
                  <c:v>Costa de Marfil</c:v>
                </c:pt>
                <c:pt idx="54">
                  <c:v>Federación de Rusia</c:v>
                </c:pt>
                <c:pt idx="55">
                  <c:v>Japón</c:v>
                </c:pt>
                <c:pt idx="56">
                  <c:v>Vietnam</c:v>
                </c:pt>
                <c:pt idx="57">
                  <c:v>India</c:v>
                </c:pt>
              </c:strCache>
            </c:strRef>
          </c:cat>
          <c:val>
            <c:numRef>
              <c:f>Sheet1!$B$2:$B$59</c:f>
              <c:numCache>
                <c:formatCode>###0%</c:formatCode>
                <c:ptCount val="58"/>
                <c:pt idx="0">
                  <c:v>0.35514692168187328</c:v>
                </c:pt>
                <c:pt idx="1">
                  <c:v>0.84099999999999997</c:v>
                </c:pt>
                <c:pt idx="2">
                  <c:v>0.81100000000000005</c:v>
                </c:pt>
                <c:pt idx="3">
                  <c:v>0.71365653618718194</c:v>
                </c:pt>
                <c:pt idx="4">
                  <c:v>0.61244019138755978</c:v>
                </c:pt>
                <c:pt idx="5">
                  <c:v>0.53767004862232093</c:v>
                </c:pt>
                <c:pt idx="6">
                  <c:v>0.53523788561422836</c:v>
                </c:pt>
                <c:pt idx="7">
                  <c:v>0.50648055832502492</c:v>
                </c:pt>
                <c:pt idx="8">
                  <c:v>0.47499999999999998</c:v>
                </c:pt>
                <c:pt idx="9">
                  <c:v>0.46246524559777574</c:v>
                </c:pt>
                <c:pt idx="10">
                  <c:v>0.46221502026731004</c:v>
                </c:pt>
                <c:pt idx="11">
                  <c:v>0.44285714285714284</c:v>
                </c:pt>
                <c:pt idx="12">
                  <c:v>0.43744030563514807</c:v>
                </c:pt>
                <c:pt idx="13">
                  <c:v>0.43456543456543456</c:v>
                </c:pt>
                <c:pt idx="14">
                  <c:v>0.42446941323345816</c:v>
                </c:pt>
                <c:pt idx="15">
                  <c:v>0.42090970807875083</c:v>
                </c:pt>
                <c:pt idx="16">
                  <c:v>0.40337085908216552</c:v>
                </c:pt>
                <c:pt idx="17">
                  <c:v>0.40058195926285156</c:v>
                </c:pt>
                <c:pt idx="18">
                  <c:v>0.39117647058823529</c:v>
                </c:pt>
                <c:pt idx="19">
                  <c:v>0.38759689922480622</c:v>
                </c:pt>
                <c:pt idx="20">
                  <c:v>0.37733499377334995</c:v>
                </c:pt>
                <c:pt idx="21">
                  <c:v>0.37050359712230213</c:v>
                </c:pt>
                <c:pt idx="22">
                  <c:v>0.36807822312678939</c:v>
                </c:pt>
                <c:pt idx="23">
                  <c:v>0.36395450568678916</c:v>
                </c:pt>
                <c:pt idx="24">
                  <c:v>0.36233269598470363</c:v>
                </c:pt>
                <c:pt idx="25">
                  <c:v>0.35205992509363299</c:v>
                </c:pt>
                <c:pt idx="26">
                  <c:v>0.34782734823565858</c:v>
                </c:pt>
                <c:pt idx="27">
                  <c:v>0.34868421052631576</c:v>
                </c:pt>
                <c:pt idx="28">
                  <c:v>0.34219269102990035</c:v>
                </c:pt>
                <c:pt idx="29">
                  <c:v>0.3398239210753623</c:v>
                </c:pt>
                <c:pt idx="30">
                  <c:v>0.33399999999999996</c:v>
                </c:pt>
                <c:pt idx="31">
                  <c:v>0.32800000000000007</c:v>
                </c:pt>
                <c:pt idx="32">
                  <c:v>0.32813941821028936</c:v>
                </c:pt>
                <c:pt idx="33">
                  <c:v>0.31902166775899671</c:v>
                </c:pt>
                <c:pt idx="34">
                  <c:v>0.31485148514851485</c:v>
                </c:pt>
                <c:pt idx="35">
                  <c:v>0.30439121756487025</c:v>
                </c:pt>
                <c:pt idx="36">
                  <c:v>0.30344202898550726</c:v>
                </c:pt>
                <c:pt idx="37">
                  <c:v>0.30105465004793863</c:v>
                </c:pt>
                <c:pt idx="38">
                  <c:v>0.29817158931082982</c:v>
                </c:pt>
                <c:pt idx="39">
                  <c:v>0.29209302325581393</c:v>
                </c:pt>
                <c:pt idx="40">
                  <c:v>0.28599999999999998</c:v>
                </c:pt>
                <c:pt idx="41">
                  <c:v>0.27155607689794381</c:v>
                </c:pt>
                <c:pt idx="42">
                  <c:v>0.25671641791044775</c:v>
                </c:pt>
                <c:pt idx="43">
                  <c:v>0.25593008739076156</c:v>
                </c:pt>
                <c:pt idx="44">
                  <c:v>0.24753694581280791</c:v>
                </c:pt>
                <c:pt idx="45">
                  <c:v>0.23809523809523805</c:v>
                </c:pt>
                <c:pt idx="46">
                  <c:v>0.23240204601290851</c:v>
                </c:pt>
                <c:pt idx="47">
                  <c:v>0.22997157659895087</c:v>
                </c:pt>
                <c:pt idx="48">
                  <c:v>0.23125000000000001</c:v>
                </c:pt>
                <c:pt idx="49">
                  <c:v>0.22004413978677725</c:v>
                </c:pt>
                <c:pt idx="50">
                  <c:v>0.22032891773561761</c:v>
                </c:pt>
                <c:pt idx="51">
                  <c:v>0.21561401897418278</c:v>
                </c:pt>
                <c:pt idx="52">
                  <c:v>0.21137097293114437</c:v>
                </c:pt>
                <c:pt idx="53">
                  <c:v>0.19800000000000001</c:v>
                </c:pt>
                <c:pt idx="54">
                  <c:v>0.15334632878492527</c:v>
                </c:pt>
                <c:pt idx="55">
                  <c:v>0.14285714285714285</c:v>
                </c:pt>
                <c:pt idx="56">
                  <c:v>7.8850158389325728E-2</c:v>
                </c:pt>
                <c:pt idx="57">
                  <c:v>4.0918163672654689E-2</c:v>
                </c:pt>
              </c:numCache>
            </c:numRef>
          </c:val>
          <c:extLst>
            <c:ext xmlns:c16="http://schemas.microsoft.com/office/drawing/2014/chart" uri="{C3380CC4-5D6E-409C-BE32-E72D297353CC}">
              <c16:uniqueId val="{00000030-CA1D-4895-8795-5CE2941B9C67}"/>
            </c:ext>
          </c:extLst>
        </c:ser>
        <c:ser>
          <c:idx val="1"/>
          <c:order val="1"/>
          <c:tx>
            <c:strRef>
              <c:f>Sheet1!$C$1</c:f>
              <c:strCache>
                <c:ptCount val="1"/>
                <c:pt idx="0">
                  <c:v>Remain where we are</c:v>
                </c:pt>
              </c:strCache>
            </c:strRef>
          </c:tx>
          <c:spPr>
            <a:solidFill>
              <a:srgbClr val="C00000"/>
            </a:solidFill>
            <a:ln>
              <a:solidFill>
                <a:srgbClr val="C00000"/>
              </a:solidFill>
            </a:ln>
            <a:effectLst/>
          </c:spPr>
          <c:invertIfNegative val="0"/>
          <c:dLbls>
            <c:dLbl>
              <c:idx val="0"/>
              <c:layout>
                <c:manualLayout>
                  <c:x val="2.3863209319804585E-2"/>
                  <c:y val="3.530304519254452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CA1D-4895-8795-5CE2941B9C67}"/>
                </c:ext>
              </c:extLst>
            </c:dLbl>
            <c:dLbl>
              <c:idx val="1"/>
              <c:layout>
                <c:manualLayout>
                  <c:x val="2.784041087310527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CA1D-4895-8795-5CE2941B9C67}"/>
                </c:ext>
              </c:extLst>
            </c:dLbl>
            <c:dLbl>
              <c:idx val="2"/>
              <c:layout>
                <c:manualLayout>
                  <c:x val="4.374921708630825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CA1D-4895-8795-5CE2941B9C67}"/>
                </c:ext>
              </c:extLst>
            </c:dLbl>
            <c:dLbl>
              <c:idx val="3"/>
              <c:layout>
                <c:manualLayout>
                  <c:x val="2.585181009645496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CA1D-4895-8795-5CE2941B9C67}"/>
                </c:ext>
              </c:extLst>
            </c:dLbl>
            <c:dLbl>
              <c:idx val="4"/>
              <c:layout>
                <c:manualLayout>
                  <c:x val="-4.374921708630840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CA1D-4895-8795-5CE2941B9C67}"/>
                </c:ext>
              </c:extLst>
            </c:dLbl>
            <c:dLbl>
              <c:idx val="5"/>
              <c:layout>
                <c:manualLayout>
                  <c:x val="3.5794813979706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CA1D-4895-8795-5CE2941B9C67}"/>
                </c:ext>
              </c:extLst>
            </c:dLbl>
            <c:dLbl>
              <c:idx val="6"/>
              <c:layout>
                <c:manualLayout>
                  <c:x val="-7.9544031066015361E-2"/>
                  <c:y val="1.2130033965507222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CA1D-4895-8795-5CE2941B9C67}"/>
                </c:ext>
              </c:extLst>
            </c:dLbl>
            <c:dLbl>
              <c:idx val="8"/>
              <c:layout>
                <c:manualLayout>
                  <c:x val="-7.158962795941376E-2"/>
                  <c:y val="1.2130033966919342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CA1D-4895-8795-5CE2941B9C67}"/>
                </c:ext>
              </c:extLst>
            </c:dLbl>
            <c:dLbl>
              <c:idx val="9"/>
              <c:layout>
                <c:manualLayout>
                  <c:x val="2.9829011649755731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CA1D-4895-8795-5CE2941B9C67}"/>
                </c:ext>
              </c:extLst>
            </c:dLbl>
            <c:dLbl>
              <c:idx val="10"/>
              <c:layout>
                <c:manualLayout>
                  <c:x val="1.7897406989853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CA1D-4895-8795-5CE2941B9C67}"/>
                </c:ext>
              </c:extLst>
            </c:dLbl>
            <c:dLbl>
              <c:idx val="11"/>
              <c:layout>
                <c:manualLayout>
                  <c:x val="-0.12130464737567338"/>
                  <c:y val="1.2130033966919342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CA1D-4895-8795-5CE2941B9C67}"/>
                </c:ext>
              </c:extLst>
            </c:dLbl>
            <c:dLbl>
              <c:idx val="13"/>
              <c:layout>
                <c:manualLayout>
                  <c:x val="4.176061630965802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CA1D-4895-8795-5CE2941B9C67}"/>
                </c:ext>
              </c:extLst>
            </c:dLbl>
            <c:dLbl>
              <c:idx val="15"/>
              <c:layout>
                <c:manualLayout>
                  <c:x val="-3.5794813979706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CA1D-4895-8795-5CE2941B9C67}"/>
                </c:ext>
              </c:extLst>
            </c:dLbl>
            <c:dLbl>
              <c:idx val="16"/>
              <c:layout>
                <c:manualLayout>
                  <c:x val="2.7840410873105348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CA1D-4895-8795-5CE2941B9C67}"/>
                </c:ext>
              </c:extLst>
            </c:dLbl>
            <c:dLbl>
              <c:idx val="17"/>
              <c:layout>
                <c:manualLayout>
                  <c:x val="-3.7783414756357332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CA1D-4895-8795-5CE2941B9C67}"/>
                </c:ext>
              </c:extLst>
            </c:dLbl>
            <c:dLbl>
              <c:idx val="18"/>
              <c:layout>
                <c:manualLayout>
                  <c:x val="2.982901164975573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CA1D-4895-8795-5CE2941B9C67}"/>
                </c:ext>
              </c:extLst>
            </c:dLbl>
            <c:dLbl>
              <c:idx val="19"/>
              <c:layout>
                <c:manualLayout>
                  <c:x val="1.3920205436552674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CA1D-4895-8795-5CE2941B9C67}"/>
                </c:ext>
              </c:extLst>
            </c:dLbl>
            <c:dLbl>
              <c:idx val="20"/>
              <c:layout>
                <c:manualLayout>
                  <c:x val="-6.5623825629462687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CA1D-4895-8795-5CE2941B9C67}"/>
                </c:ext>
              </c:extLst>
            </c:dLbl>
            <c:dLbl>
              <c:idx val="21"/>
              <c:layout>
                <c:manualLayout>
                  <c:x val="4.971501941625955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3-CA1D-4895-8795-5CE2941B9C67}"/>
                </c:ext>
              </c:extLst>
            </c:dLbl>
            <c:dLbl>
              <c:idx val="23"/>
              <c:layout>
                <c:manualLayout>
                  <c:x val="-9.5452837279218411E-2"/>
                  <c:y val="1.213003396974358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4-CA1D-4895-8795-5CE2941B9C67}"/>
                </c:ext>
              </c:extLst>
            </c:dLbl>
            <c:dLbl>
              <c:idx val="25"/>
              <c:layout>
                <c:manualLayout>
                  <c:x val="-3.579481397970680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5-CA1D-4895-8795-5CE2941B9C67}"/>
                </c:ext>
              </c:extLst>
            </c:dLbl>
            <c:dLbl>
              <c:idx val="27"/>
              <c:layout>
                <c:manualLayout>
                  <c:x val="-6.5623825629462687E-2"/>
                  <c:y val="3.63901018922852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6-CA1D-4895-8795-5CE2941B9C67}"/>
                </c:ext>
              </c:extLst>
            </c:dLbl>
            <c:dLbl>
              <c:idx val="29"/>
              <c:layout>
                <c:manualLayout>
                  <c:x val="3.9772015533007639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7-CA1D-4895-8795-5CE2941B9C67}"/>
                </c:ext>
              </c:extLst>
            </c:dLbl>
            <c:dLbl>
              <c:idx val="30"/>
              <c:layout>
                <c:manualLayout>
                  <c:x val="-8.749843417261681E-2"/>
                  <c:y val="2.426006792819019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8-CA1D-4895-8795-5CE2941B9C67}"/>
                </c:ext>
              </c:extLst>
            </c:dLbl>
            <c:dLbl>
              <c:idx val="31"/>
              <c:layout>
                <c:manualLayout>
                  <c:x val="-4.1760616309658022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9-CA1D-4895-8795-5CE2941B9C67}"/>
                </c:ext>
              </c:extLst>
            </c:dLbl>
            <c:dLbl>
              <c:idx val="32"/>
              <c:layout>
                <c:manualLayout>
                  <c:x val="7.158962795941376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A-CA1D-4895-8795-5CE2941B9C67}"/>
                </c:ext>
              </c:extLst>
            </c:dLbl>
            <c:dLbl>
              <c:idx val="34"/>
              <c:layout>
                <c:manualLayout>
                  <c:x val="-9.5452837279218342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B-CA1D-4895-8795-5CE2941B9C67}"/>
                </c:ext>
              </c:extLst>
            </c:dLbl>
            <c:dLbl>
              <c:idx val="35"/>
              <c:layout>
                <c:manualLayout>
                  <c:x val="-5.9658023299511607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C-CA1D-4895-8795-5CE2941B9C67}"/>
                </c:ext>
              </c:extLst>
            </c:dLbl>
            <c:dLbl>
              <c:idx val="36"/>
              <c:layout>
                <c:manualLayout>
                  <c:x val="3.778341475635711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D-CA1D-4895-8795-5CE2941B9C67}"/>
                </c:ext>
              </c:extLst>
            </c:dLbl>
            <c:dLbl>
              <c:idx val="37"/>
              <c:layout>
                <c:manualLayout>
                  <c:x val="-9.7441438055868787E-2"/>
                  <c:y val="2.426006792819019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E-CA1D-4895-8795-5CE2941B9C67}"/>
                </c:ext>
              </c:extLst>
            </c:dLbl>
            <c:dLbl>
              <c:idx val="38"/>
              <c:layout>
                <c:manualLayout>
                  <c:x val="-5.7669422522861079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F-CA1D-4895-8795-5CE2941B9C67}"/>
                </c:ext>
              </c:extLst>
            </c:dLbl>
            <c:dLbl>
              <c:idx val="39"/>
              <c:layout>
                <c:manualLayout>
                  <c:x val="9.5452837279218189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0-CA1D-4895-8795-5CE2941B9C67}"/>
                </c:ext>
              </c:extLst>
            </c:dLbl>
            <c:dLbl>
              <c:idx val="40"/>
              <c:layout>
                <c:manualLayout>
                  <c:x val="-8.9487034949267269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1-CA1D-4895-8795-5CE2941B9C67}"/>
                </c:ext>
              </c:extLst>
            </c:dLbl>
            <c:dLbl>
              <c:idx val="41"/>
              <c:layout>
                <c:manualLayout>
                  <c:x val="5.9658023299510735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2-CA1D-4895-8795-5CE2941B9C67}"/>
                </c:ext>
              </c:extLst>
            </c:dLbl>
            <c:dLbl>
              <c:idx val="42"/>
              <c:layout>
                <c:manualLayout>
                  <c:x val="6.5623825629462604E-2"/>
                  <c:y val="1.213003397539207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3-CA1D-4895-8795-5CE2941B9C67}"/>
                </c:ext>
              </c:extLst>
            </c:dLbl>
            <c:dLbl>
              <c:idx val="43"/>
              <c:layout>
                <c:manualLayout>
                  <c:x val="-8.9487034949267269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4-CA1D-4895-8795-5CE2941B9C67}"/>
                </c:ext>
              </c:extLst>
            </c:dLbl>
            <c:dLbl>
              <c:idx val="44"/>
              <c:layout>
                <c:manualLayout>
                  <c:x val="-1.193160465990229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5-CA1D-4895-8795-5CE2941B9C67}"/>
                </c:ext>
              </c:extLst>
            </c:dLbl>
            <c:dLbl>
              <c:idx val="45"/>
              <c:layout>
                <c:manualLayout>
                  <c:x val="8.153263184266551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6-CA1D-4895-8795-5CE2941B9C67}"/>
                </c:ext>
              </c:extLst>
            </c:dLbl>
            <c:dLbl>
              <c:idx val="46"/>
              <c:layout>
                <c:manualLayout>
                  <c:x val="-5.1703620192909937E-2"/>
                  <c:y val="2.4260067939487172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7-CA1D-4895-8795-5CE2941B9C67}"/>
                </c:ext>
              </c:extLst>
            </c:dLbl>
            <c:dLbl>
              <c:idx val="47"/>
              <c:layout>
                <c:manualLayout>
                  <c:x val="5.9658023299511316E-2"/>
                  <c:y val="1.213003397539207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8-CA1D-4895-8795-5CE2941B9C67}"/>
                </c:ext>
              </c:extLst>
            </c:dLbl>
            <c:dLbl>
              <c:idx val="48"/>
              <c:layout>
                <c:manualLayout>
                  <c:x val="-1.789740698985336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9-CA1D-4895-8795-5CE2941B9C67}"/>
                </c:ext>
              </c:extLst>
            </c:dLbl>
            <c:dLbl>
              <c:idx val="49"/>
              <c:layout>
                <c:manualLayout>
                  <c:x val="3.380621320305635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A-CA1D-4895-8795-5CE2941B9C67}"/>
                </c:ext>
              </c:extLst>
            </c:dLbl>
            <c:dLbl>
              <c:idx val="50"/>
              <c:layout>
                <c:manualLayout>
                  <c:x val="-2.982901164975580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B-CA1D-4895-8795-5CE2941B9C67}"/>
                </c:ext>
              </c:extLst>
            </c:dLbl>
            <c:dLbl>
              <c:idx val="52"/>
              <c:layout>
                <c:manualLayout>
                  <c:x val="-6.761242640611291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C-CA1D-4895-8795-5CE2941B9C67}"/>
                </c:ext>
              </c:extLst>
            </c:dLbl>
            <c:dLbl>
              <c:idx val="54"/>
              <c:layout>
                <c:manualLayout>
                  <c:x val="-4.7726418639609171E-2"/>
                  <c:y val="2.824243615403561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D-CA1D-4895-8795-5CE2941B9C67}"/>
                </c:ext>
              </c:extLst>
            </c:dLbl>
            <c:dLbl>
              <c:idx val="55"/>
              <c:layout>
                <c:manualLayout>
                  <c:x val="2.5851810096454968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E-CA1D-4895-8795-5CE2941B9C67}"/>
                </c:ext>
              </c:extLst>
            </c:dLbl>
            <c:dLbl>
              <c:idx val="56"/>
              <c:layout>
                <c:manualLayout>
                  <c:x val="-0.11931604659902299"/>
                  <c:y val="1.213003395279812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F-CA1D-4895-8795-5CE2941B9C67}"/>
                </c:ext>
              </c:extLst>
            </c:dLbl>
            <c:spPr>
              <a:solidFill>
                <a:schemeClr val="bg1"/>
              </a:solidFill>
              <a:ln>
                <a:solidFill>
                  <a:srgbClr val="C0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Sheet1!$A$2:$A$59</c:f>
              <c:strCache>
                <c:ptCount val="58"/>
                <c:pt idx="0">
                  <c:v>Promedio Global</c:v>
                </c:pt>
                <c:pt idx="1">
                  <c:v>Sierra Leona</c:v>
                </c:pt>
                <c:pt idx="2">
                  <c:v>Ghana</c:v>
                </c:pt>
                <c:pt idx="3">
                  <c:v>Nigeria</c:v>
                </c:pt>
                <c:pt idx="4">
                  <c:v>Siria</c:v>
                </c:pt>
                <c:pt idx="5">
                  <c:v>Filipinas</c:v>
                </c:pt>
                <c:pt idx="6">
                  <c:v>Argentina</c:v>
                </c:pt>
                <c:pt idx="7">
                  <c:v>Camerún </c:v>
                </c:pt>
                <c:pt idx="8">
                  <c:v>Bosnia y Herzegovina</c:v>
                </c:pt>
                <c:pt idx="9">
                  <c:v>Hungría </c:v>
                </c:pt>
                <c:pt idx="10">
                  <c:v>Afganistán</c:v>
                </c:pt>
                <c:pt idx="11">
                  <c:v>Jordania</c:v>
                </c:pt>
                <c:pt idx="12">
                  <c:v>Eslovaquia</c:v>
                </c:pt>
                <c:pt idx="13">
                  <c:v>Senegal</c:v>
                </c:pt>
                <c:pt idx="14">
                  <c:v>Macedonia del Norte</c:v>
                </c:pt>
                <c:pt idx="15">
                  <c:v>Territorios Palestinos*</c:v>
                </c:pt>
                <c:pt idx="16">
                  <c:v>Kenia</c:v>
                </c:pt>
                <c:pt idx="17">
                  <c:v>Grecia</c:v>
                </c:pt>
                <c:pt idx="18">
                  <c:v>Irak</c:v>
                </c:pt>
                <c:pt idx="19">
                  <c:v>Kosovo</c:v>
                </c:pt>
                <c:pt idx="20">
                  <c:v>Rumania</c:v>
                </c:pt>
                <c:pt idx="21">
                  <c:v>Polonia</c:v>
                </c:pt>
                <c:pt idx="22">
                  <c:v>Italia</c:v>
                </c:pt>
                <c:pt idx="23">
                  <c:v>Irlanda</c:v>
                </c:pt>
                <c:pt idx="24">
                  <c:v>Reino Unido</c:v>
                </c:pt>
                <c:pt idx="25">
                  <c:v>Luxermburgo</c:v>
                </c:pt>
                <c:pt idx="26">
                  <c:v>Croacia</c:v>
                </c:pt>
                <c:pt idx="27">
                  <c:v>Bélgica</c:v>
                </c:pt>
                <c:pt idx="28">
                  <c:v>Tailandia</c:v>
                </c:pt>
                <c:pt idx="29">
                  <c:v>República de Corea</c:v>
                </c:pt>
                <c:pt idx="30">
                  <c:v>Alemania</c:v>
                </c:pt>
                <c:pt idx="31">
                  <c:v>Portugal</c:v>
                </c:pt>
                <c:pt idx="32">
                  <c:v>Estados Unidos</c:v>
                </c:pt>
                <c:pt idx="33">
                  <c:v>Canadá </c:v>
                </c:pt>
                <c:pt idx="34">
                  <c:v>Hong Kong</c:v>
                </c:pt>
                <c:pt idx="35">
                  <c:v>Libia</c:v>
                </c:pt>
                <c:pt idx="36">
                  <c:v>República Checa</c:v>
                </c:pt>
                <c:pt idx="37">
                  <c:v>Francia</c:v>
                </c:pt>
                <c:pt idx="38">
                  <c:v>Emiratos Árabes Unidos</c:v>
                </c:pt>
                <c:pt idx="39">
                  <c:v>Países Bajos</c:v>
                </c:pt>
                <c:pt idx="40">
                  <c:v>Kazajistán</c:v>
                </c:pt>
                <c:pt idx="41">
                  <c:v>España</c:v>
                </c:pt>
                <c:pt idx="42">
                  <c:v>Armenia</c:v>
                </c:pt>
                <c:pt idx="43">
                  <c:v>Indonesia</c:v>
                </c:pt>
                <c:pt idx="44">
                  <c:v>Bulgaria</c:v>
                </c:pt>
                <c:pt idx="45">
                  <c:v>Israel</c:v>
                </c:pt>
                <c:pt idx="46">
                  <c:v>Suecia</c:v>
                </c:pt>
                <c:pt idx="47">
                  <c:v>Austria</c:v>
                </c:pt>
                <c:pt idx="48">
                  <c:v>Moldavia</c:v>
                </c:pt>
                <c:pt idx="49">
                  <c:v>Georgia</c:v>
                </c:pt>
                <c:pt idx="50">
                  <c:v>Suiza</c:v>
                </c:pt>
                <c:pt idx="51">
                  <c:v>Pakistán</c:v>
                </c:pt>
                <c:pt idx="52">
                  <c:v>Eslovenia</c:v>
                </c:pt>
                <c:pt idx="53">
                  <c:v>Costa de Marfil</c:v>
                </c:pt>
                <c:pt idx="54">
                  <c:v>Federación de Rusia</c:v>
                </c:pt>
                <c:pt idx="55">
                  <c:v>Japón</c:v>
                </c:pt>
                <c:pt idx="56">
                  <c:v>Vietnam</c:v>
                </c:pt>
                <c:pt idx="57">
                  <c:v>India</c:v>
                </c:pt>
              </c:strCache>
            </c:strRef>
          </c:cat>
          <c:val>
            <c:numRef>
              <c:f>Sheet1!$C$2:$C$59</c:f>
              <c:numCache>
                <c:formatCode>###0%</c:formatCode>
                <c:ptCount val="58"/>
                <c:pt idx="0">
                  <c:v>0.58539953730590677</c:v>
                </c:pt>
                <c:pt idx="1">
                  <c:v>0.14699999999999999</c:v>
                </c:pt>
                <c:pt idx="2">
                  <c:v>0.183</c:v>
                </c:pt>
                <c:pt idx="3">
                  <c:v>0.28486211031839159</c:v>
                </c:pt>
                <c:pt idx="4">
                  <c:v>0.37033492822966507</c:v>
                </c:pt>
                <c:pt idx="5">
                  <c:v>0.42617641276432505</c:v>
                </c:pt>
                <c:pt idx="6">
                  <c:v>0.41036857511439023</c:v>
                </c:pt>
                <c:pt idx="7">
                  <c:v>0.49152542372881358</c:v>
                </c:pt>
                <c:pt idx="8">
                  <c:v>0.45374999999999999</c:v>
                </c:pt>
                <c:pt idx="9">
                  <c:v>0.43744207599629287</c:v>
                </c:pt>
                <c:pt idx="10">
                  <c:v>0.52674815391914209</c:v>
                </c:pt>
                <c:pt idx="11">
                  <c:v>0.55000000000000004</c:v>
                </c:pt>
                <c:pt idx="12">
                  <c:v>0.46322827125119387</c:v>
                </c:pt>
                <c:pt idx="13">
                  <c:v>0.55644355644355648</c:v>
                </c:pt>
                <c:pt idx="14">
                  <c:v>0.54681647940074907</c:v>
                </c:pt>
                <c:pt idx="15">
                  <c:v>0.52613713509843851</c:v>
                </c:pt>
                <c:pt idx="16">
                  <c:v>0.59531734352178012</c:v>
                </c:pt>
                <c:pt idx="17">
                  <c:v>0.54704170708050437</c:v>
                </c:pt>
                <c:pt idx="18">
                  <c:v>0.60882352941176465</c:v>
                </c:pt>
                <c:pt idx="19">
                  <c:v>0.54817275747508309</c:v>
                </c:pt>
                <c:pt idx="20">
                  <c:v>0.5429638854296388</c:v>
                </c:pt>
                <c:pt idx="21">
                  <c:v>0.54316546762589923</c:v>
                </c:pt>
                <c:pt idx="22">
                  <c:v>0.51889588873815884</c:v>
                </c:pt>
                <c:pt idx="23">
                  <c:v>0.573928258967629</c:v>
                </c:pt>
                <c:pt idx="24">
                  <c:v>0.56596558317399615</c:v>
                </c:pt>
                <c:pt idx="25">
                  <c:v>0.50936329588014984</c:v>
                </c:pt>
                <c:pt idx="26">
                  <c:v>0.60278257776227429</c:v>
                </c:pt>
                <c:pt idx="27">
                  <c:v>0.53759398496240607</c:v>
                </c:pt>
                <c:pt idx="28">
                  <c:v>0.61461794019933558</c:v>
                </c:pt>
                <c:pt idx="29">
                  <c:v>0.64150359409371904</c:v>
                </c:pt>
                <c:pt idx="30">
                  <c:v>0.55100000000000005</c:v>
                </c:pt>
                <c:pt idx="31">
                  <c:v>0.60899999999999999</c:v>
                </c:pt>
                <c:pt idx="32">
                  <c:v>0.58916455678696567</c:v>
                </c:pt>
                <c:pt idx="33">
                  <c:v>0.60843922741362699</c:v>
                </c:pt>
                <c:pt idx="34">
                  <c:v>0.57227722772277223</c:v>
                </c:pt>
                <c:pt idx="35">
                  <c:v>0.67864271457085823</c:v>
                </c:pt>
                <c:pt idx="36">
                  <c:v>0.62771739130434778</c:v>
                </c:pt>
                <c:pt idx="37">
                  <c:v>0.60882070949185041</c:v>
                </c:pt>
                <c:pt idx="38">
                  <c:v>0.68635724331926862</c:v>
                </c:pt>
                <c:pt idx="39">
                  <c:v>0.60837209302325579</c:v>
                </c:pt>
                <c:pt idx="40">
                  <c:v>0.68600000000000005</c:v>
                </c:pt>
                <c:pt idx="41">
                  <c:v>0.64539975652792203</c:v>
                </c:pt>
                <c:pt idx="42">
                  <c:v>0.71641791044776115</c:v>
                </c:pt>
                <c:pt idx="43">
                  <c:v>0.72534332084893871</c:v>
                </c:pt>
                <c:pt idx="44">
                  <c:v>0.66748768472906406</c:v>
                </c:pt>
                <c:pt idx="45">
                  <c:v>0.73511904761904778</c:v>
                </c:pt>
                <c:pt idx="46">
                  <c:v>0.6828293113425713</c:v>
                </c:pt>
                <c:pt idx="47">
                  <c:v>0.68392305045980539</c:v>
                </c:pt>
                <c:pt idx="48">
                  <c:v>0.74875000000000003</c:v>
                </c:pt>
                <c:pt idx="49">
                  <c:v>0.76539608959441408</c:v>
                </c:pt>
                <c:pt idx="50">
                  <c:v>0.6835271589823122</c:v>
                </c:pt>
                <c:pt idx="51">
                  <c:v>0.78147769693066393</c:v>
                </c:pt>
                <c:pt idx="52">
                  <c:v>0.73368579294161296</c:v>
                </c:pt>
                <c:pt idx="53">
                  <c:v>0.76800000000000002</c:v>
                </c:pt>
                <c:pt idx="54">
                  <c:v>0.64847303443794668</c:v>
                </c:pt>
                <c:pt idx="55">
                  <c:v>0.70905923344947719</c:v>
                </c:pt>
                <c:pt idx="56">
                  <c:v>0.91467315248647363</c:v>
                </c:pt>
                <c:pt idx="57">
                  <c:v>0.82435129740518964</c:v>
                </c:pt>
              </c:numCache>
            </c:numRef>
          </c:val>
          <c:extLst>
            <c:ext xmlns:c16="http://schemas.microsoft.com/office/drawing/2014/chart" uri="{C3380CC4-5D6E-409C-BE32-E72D297353CC}">
              <c16:uniqueId val="{00000060-CA1D-4895-8795-5CE2941B9C67}"/>
            </c:ext>
          </c:extLst>
        </c:ser>
        <c:ser>
          <c:idx val="2"/>
          <c:order val="2"/>
          <c:tx>
            <c:strRef>
              <c:f>Sheet1!$D$1</c:f>
              <c:strCache>
                <c:ptCount val="1"/>
                <c:pt idx="0">
                  <c:v>Don't know</c:v>
                </c:pt>
              </c:strCache>
            </c:strRef>
          </c:tx>
          <c:spPr>
            <a:solidFill>
              <a:schemeClr val="bg1">
                <a:lumMod val="75000"/>
              </a:schemeClr>
            </a:solidFill>
            <a:ln>
              <a:solidFill>
                <a:schemeClr val="bg1">
                  <a:lumMod val="75000"/>
                </a:schemeClr>
              </a:solidFill>
            </a:ln>
            <a:effectLst/>
          </c:spPr>
          <c:invertIfNegative val="0"/>
          <c:dLbls>
            <c:delete val="1"/>
          </c:dLbls>
          <c:cat>
            <c:strRef>
              <c:f>Sheet1!$A$2:$A$59</c:f>
              <c:strCache>
                <c:ptCount val="58"/>
                <c:pt idx="0">
                  <c:v>Promedio Global</c:v>
                </c:pt>
                <c:pt idx="1">
                  <c:v>Sierra Leona</c:v>
                </c:pt>
                <c:pt idx="2">
                  <c:v>Ghana</c:v>
                </c:pt>
                <c:pt idx="3">
                  <c:v>Nigeria</c:v>
                </c:pt>
                <c:pt idx="4">
                  <c:v>Siria</c:v>
                </c:pt>
                <c:pt idx="5">
                  <c:v>Filipinas</c:v>
                </c:pt>
                <c:pt idx="6">
                  <c:v>Argentina</c:v>
                </c:pt>
                <c:pt idx="7">
                  <c:v>Camerún </c:v>
                </c:pt>
                <c:pt idx="8">
                  <c:v>Bosnia y Herzegovina</c:v>
                </c:pt>
                <c:pt idx="9">
                  <c:v>Hungría </c:v>
                </c:pt>
                <c:pt idx="10">
                  <c:v>Afganistán</c:v>
                </c:pt>
                <c:pt idx="11">
                  <c:v>Jordania</c:v>
                </c:pt>
                <c:pt idx="12">
                  <c:v>Eslovaquia</c:v>
                </c:pt>
                <c:pt idx="13">
                  <c:v>Senegal</c:v>
                </c:pt>
                <c:pt idx="14">
                  <c:v>Macedonia del Norte</c:v>
                </c:pt>
                <c:pt idx="15">
                  <c:v>Territorios Palestinos*</c:v>
                </c:pt>
                <c:pt idx="16">
                  <c:v>Kenia</c:v>
                </c:pt>
                <c:pt idx="17">
                  <c:v>Grecia</c:v>
                </c:pt>
                <c:pt idx="18">
                  <c:v>Irak</c:v>
                </c:pt>
                <c:pt idx="19">
                  <c:v>Kosovo</c:v>
                </c:pt>
                <c:pt idx="20">
                  <c:v>Rumania</c:v>
                </c:pt>
                <c:pt idx="21">
                  <c:v>Polonia</c:v>
                </c:pt>
                <c:pt idx="22">
                  <c:v>Italia</c:v>
                </c:pt>
                <c:pt idx="23">
                  <c:v>Irlanda</c:v>
                </c:pt>
                <c:pt idx="24">
                  <c:v>Reino Unido</c:v>
                </c:pt>
                <c:pt idx="25">
                  <c:v>Luxermburgo</c:v>
                </c:pt>
                <c:pt idx="26">
                  <c:v>Croacia</c:v>
                </c:pt>
                <c:pt idx="27">
                  <c:v>Bélgica</c:v>
                </c:pt>
                <c:pt idx="28">
                  <c:v>Tailandia</c:v>
                </c:pt>
                <c:pt idx="29">
                  <c:v>República de Corea</c:v>
                </c:pt>
                <c:pt idx="30">
                  <c:v>Alemania</c:v>
                </c:pt>
                <c:pt idx="31">
                  <c:v>Portugal</c:v>
                </c:pt>
                <c:pt idx="32">
                  <c:v>Estados Unidos</c:v>
                </c:pt>
                <c:pt idx="33">
                  <c:v>Canadá </c:v>
                </c:pt>
                <c:pt idx="34">
                  <c:v>Hong Kong</c:v>
                </c:pt>
                <c:pt idx="35">
                  <c:v>Libia</c:v>
                </c:pt>
                <c:pt idx="36">
                  <c:v>República Checa</c:v>
                </c:pt>
                <c:pt idx="37">
                  <c:v>Francia</c:v>
                </c:pt>
                <c:pt idx="38">
                  <c:v>Emiratos Árabes Unidos</c:v>
                </c:pt>
                <c:pt idx="39">
                  <c:v>Países Bajos</c:v>
                </c:pt>
                <c:pt idx="40">
                  <c:v>Kazajistán</c:v>
                </c:pt>
                <c:pt idx="41">
                  <c:v>España</c:v>
                </c:pt>
                <c:pt idx="42">
                  <c:v>Armenia</c:v>
                </c:pt>
                <c:pt idx="43">
                  <c:v>Indonesia</c:v>
                </c:pt>
                <c:pt idx="44">
                  <c:v>Bulgaria</c:v>
                </c:pt>
                <c:pt idx="45">
                  <c:v>Israel</c:v>
                </c:pt>
                <c:pt idx="46">
                  <c:v>Suecia</c:v>
                </c:pt>
                <c:pt idx="47">
                  <c:v>Austria</c:v>
                </c:pt>
                <c:pt idx="48">
                  <c:v>Moldavia</c:v>
                </c:pt>
                <c:pt idx="49">
                  <c:v>Georgia</c:v>
                </c:pt>
                <c:pt idx="50">
                  <c:v>Suiza</c:v>
                </c:pt>
                <c:pt idx="51">
                  <c:v>Pakistán</c:v>
                </c:pt>
                <c:pt idx="52">
                  <c:v>Eslovenia</c:v>
                </c:pt>
                <c:pt idx="53">
                  <c:v>Costa de Marfil</c:v>
                </c:pt>
                <c:pt idx="54">
                  <c:v>Federación de Rusia</c:v>
                </c:pt>
                <c:pt idx="55">
                  <c:v>Japón</c:v>
                </c:pt>
                <c:pt idx="56">
                  <c:v>Vietnam</c:v>
                </c:pt>
                <c:pt idx="57">
                  <c:v>India</c:v>
                </c:pt>
              </c:strCache>
            </c:strRef>
          </c:cat>
          <c:val>
            <c:numRef>
              <c:f>Sheet1!$D$2:$D$59</c:f>
              <c:numCache>
                <c:formatCode>###0%</c:formatCode>
                <c:ptCount val="58"/>
                <c:pt idx="0">
                  <c:v>5.9453541012215456E-2</c:v>
                </c:pt>
                <c:pt idx="1">
                  <c:v>1.2E-2</c:v>
                </c:pt>
                <c:pt idx="2">
                  <c:v>6.0000000000000001E-3</c:v>
                </c:pt>
                <c:pt idx="3">
                  <c:v>1.4813534944254246E-3</c:v>
                </c:pt>
                <c:pt idx="4">
                  <c:v>1.7224880382775119E-2</c:v>
                </c:pt>
                <c:pt idx="5">
                  <c:v>3.6153538613354914E-2</c:v>
                </c:pt>
                <c:pt idx="6">
                  <c:v>5.4393539271382615E-2</c:v>
                </c:pt>
                <c:pt idx="7">
                  <c:v>1.9940179461615153E-3</c:v>
                </c:pt>
                <c:pt idx="8">
                  <c:v>7.1249999999999994E-2</c:v>
                </c:pt>
                <c:pt idx="9">
                  <c:v>0.10009267840593142</c:v>
                </c:pt>
                <c:pt idx="10">
                  <c:v>1.1036825813547787E-2</c:v>
                </c:pt>
                <c:pt idx="11">
                  <c:v>7.1428571428571426E-3</c:v>
                </c:pt>
                <c:pt idx="12">
                  <c:v>9.9331423113658085E-2</c:v>
                </c:pt>
                <c:pt idx="13">
                  <c:v>8.9910089910089919E-3</c:v>
                </c:pt>
                <c:pt idx="14">
                  <c:v>2.871410736579276E-2</c:v>
                </c:pt>
                <c:pt idx="15">
                  <c:v>5.2953156822810585E-2</c:v>
                </c:pt>
                <c:pt idx="16">
                  <c:v>1.3117973960520841E-3</c:v>
                </c:pt>
                <c:pt idx="17">
                  <c:v>5.2376333656644035E-2</c:v>
                </c:pt>
                <c:pt idx="18" formatCode="General">
                  <c:v>0</c:v>
                </c:pt>
                <c:pt idx="19">
                  <c:v>6.4230343300110737E-2</c:v>
                </c:pt>
                <c:pt idx="20">
                  <c:v>7.9701120797011207E-2</c:v>
                </c:pt>
                <c:pt idx="21">
                  <c:v>8.6330935251798552E-2</c:v>
                </c:pt>
                <c:pt idx="22">
                  <c:v>0.11302588813505081</c:v>
                </c:pt>
                <c:pt idx="23">
                  <c:v>6.2117235345581799E-2</c:v>
                </c:pt>
                <c:pt idx="24">
                  <c:v>7.1701720841300193E-2</c:v>
                </c:pt>
                <c:pt idx="25">
                  <c:v>0.13857677902621723</c:v>
                </c:pt>
                <c:pt idx="26">
                  <c:v>4.9390074002068331E-2</c:v>
                </c:pt>
                <c:pt idx="27">
                  <c:v>0.1137218045112782</c:v>
                </c:pt>
                <c:pt idx="28">
                  <c:v>4.3189368770764111E-2</c:v>
                </c:pt>
                <c:pt idx="29">
                  <c:v>1.8672484830917879E-2</c:v>
                </c:pt>
                <c:pt idx="30">
                  <c:v>0.115</c:v>
                </c:pt>
                <c:pt idx="31">
                  <c:v>6.3E-2</c:v>
                </c:pt>
                <c:pt idx="32">
                  <c:v>8.2696025002744519E-2</c:v>
                </c:pt>
                <c:pt idx="33">
                  <c:v>7.2539104827380782E-2</c:v>
                </c:pt>
                <c:pt idx="34">
                  <c:v>0.11287128712871289</c:v>
                </c:pt>
                <c:pt idx="35">
                  <c:v>1.6966067864271458E-2</c:v>
                </c:pt>
                <c:pt idx="36">
                  <c:v>6.8840579710144928E-2</c:v>
                </c:pt>
                <c:pt idx="37">
                  <c:v>9.0124640460210917E-2</c:v>
                </c:pt>
                <c:pt idx="38">
                  <c:v>1.5471167369901548E-2</c:v>
                </c:pt>
                <c:pt idx="39">
                  <c:v>9.9534883720930237E-2</c:v>
                </c:pt>
                <c:pt idx="40">
                  <c:v>2.8000000000000004E-2</c:v>
                </c:pt>
                <c:pt idx="41">
                  <c:v>8.3044166574133063E-2</c:v>
                </c:pt>
                <c:pt idx="42">
                  <c:v>2.6865671641791041E-2</c:v>
                </c:pt>
                <c:pt idx="43">
                  <c:v>1.8726591760299626E-2</c:v>
                </c:pt>
                <c:pt idx="44">
                  <c:v>8.4975369458128072E-2</c:v>
                </c:pt>
                <c:pt idx="45">
                  <c:v>2.6785714285714284E-2</c:v>
                </c:pt>
                <c:pt idx="46">
                  <c:v>8.4768642644519457E-2</c:v>
                </c:pt>
                <c:pt idx="47">
                  <c:v>8.610537294124336E-2</c:v>
                </c:pt>
                <c:pt idx="48">
                  <c:v>0.02</c:v>
                </c:pt>
                <c:pt idx="49">
                  <c:v>1.4559770618808294E-2</c:v>
                </c:pt>
                <c:pt idx="50">
                  <c:v>9.6143923282067459E-2</c:v>
                </c:pt>
                <c:pt idx="51">
                  <c:v>2.9082840951557103E-3</c:v>
                </c:pt>
                <c:pt idx="52">
                  <c:v>5.4943234127241593E-2</c:v>
                </c:pt>
                <c:pt idx="53">
                  <c:v>3.4000000000000002E-2</c:v>
                </c:pt>
                <c:pt idx="54">
                  <c:v>0.19818063677712799</c:v>
                </c:pt>
                <c:pt idx="55">
                  <c:v>0.1480836236933798</c:v>
                </c:pt>
                <c:pt idx="56">
                  <c:v>6.4766891242010035E-3</c:v>
                </c:pt>
                <c:pt idx="57">
                  <c:v>0.1347305389221557</c:v>
                </c:pt>
              </c:numCache>
            </c:numRef>
          </c:val>
          <c:extLst>
            <c:ext xmlns:c16="http://schemas.microsoft.com/office/drawing/2014/chart" uri="{C3380CC4-5D6E-409C-BE32-E72D297353CC}">
              <c16:uniqueId val="{00000061-CA1D-4895-8795-5CE2941B9C67}"/>
            </c:ext>
          </c:extLst>
        </c:ser>
        <c:dLbls>
          <c:dLblPos val="ctr"/>
          <c:showLegendKey val="0"/>
          <c:showVal val="1"/>
          <c:showCatName val="0"/>
          <c:showSerName val="0"/>
          <c:showPercent val="0"/>
          <c:showBubbleSize val="0"/>
        </c:dLbls>
        <c:gapWidth val="150"/>
        <c:overlap val="100"/>
        <c:axId val="318525624"/>
        <c:axId val="318643736"/>
      </c:barChart>
      <c:catAx>
        <c:axId val="318525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solidFill>
                <a:latin typeface="+mn-lt"/>
                <a:ea typeface="+mn-ea"/>
                <a:cs typeface="+mn-cs"/>
              </a:defRPr>
            </a:pPr>
            <a:endParaRPr lang="en-US"/>
          </a:p>
        </c:txPr>
        <c:crossAx val="318643736"/>
        <c:crosses val="autoZero"/>
        <c:auto val="1"/>
        <c:lblAlgn val="ctr"/>
        <c:lblOffset val="100"/>
        <c:noMultiLvlLbl val="0"/>
      </c:catAx>
      <c:valAx>
        <c:axId val="318643736"/>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18525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NULL"/></Relationships>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pic>
      <cdr:nvPicPr>
        <cdr:cNvPr id="2" name="chart">
          <a:extLst xmlns:a="http://schemas.openxmlformats.org/drawingml/2006/main">
            <a:ext uri="{FF2B5EF4-FFF2-40B4-BE49-F238E27FC236}">
              <a16:creationId xmlns:a16="http://schemas.microsoft.com/office/drawing/2014/main" id="{D6979796-C1E0-5BFA-2BE0-926511C007E0}"/>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V="1">
          <a:off x="-235800" y="-182880"/>
          <a:ext cx="0" cy="0"/>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Them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C1436-CE63-4B99-89C3-43755865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usuario20220508@outlook.es</cp:lastModifiedBy>
  <cp:revision>2</cp:revision>
  <dcterms:created xsi:type="dcterms:W3CDTF">2023-03-03T15:55:00Z</dcterms:created>
  <dcterms:modified xsi:type="dcterms:W3CDTF">2023-03-03T15:55:00Z</dcterms:modified>
</cp:coreProperties>
</file>