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D4C6" w14:textId="77777777" w:rsidR="00AF30C5" w:rsidRDefault="00AF30C5" w:rsidP="00AF30C5">
      <w:pPr>
        <w:jc w:val="center"/>
        <w:rPr>
          <w:rFonts w:ascii="Calibri" w:hAnsi="Calibri" w:cs="Calibri"/>
          <w:b/>
          <w:bCs/>
          <w:highlight w:val="red"/>
        </w:rPr>
      </w:pPr>
    </w:p>
    <w:p w14:paraId="3D18ADF4" w14:textId="03581D83" w:rsidR="00AF30C5" w:rsidRPr="00AF30C5" w:rsidRDefault="00AF30C5" w:rsidP="00AF30C5">
      <w:pPr>
        <w:jc w:val="center"/>
        <w:rPr>
          <w:rFonts w:ascii="Calibri" w:hAnsi="Calibri" w:cs="Calibri"/>
          <w:b/>
          <w:bCs/>
        </w:rPr>
      </w:pPr>
      <w:r w:rsidRPr="00AF30C5">
        <w:rPr>
          <w:rFonts w:ascii="Calibri" w:hAnsi="Calibri" w:cs="Calibri"/>
          <w:b/>
          <w:bCs/>
          <w:highlight w:val="red"/>
        </w:rPr>
        <w:t>INFORME EMBARGADO HASTA EL 5 DE JUNIO</w:t>
      </w:r>
    </w:p>
    <w:p w14:paraId="1841F815" w14:textId="77777777" w:rsidR="00C263CC" w:rsidRDefault="00C263CC" w:rsidP="00AF30C5">
      <w:pPr>
        <w:spacing w:line="278" w:lineRule="auto"/>
        <w:jc w:val="center"/>
        <w:rPr>
          <w:rFonts w:ascii="Calibri" w:eastAsia="Calibri" w:hAnsi="Calibri" w:cs="Calibri"/>
          <w:b/>
          <w:bCs/>
          <w:color w:val="000000" w:themeColor="text1"/>
          <w:sz w:val="28"/>
          <w:szCs w:val="28"/>
        </w:rPr>
      </w:pPr>
    </w:p>
    <w:p w14:paraId="0D61EC22" w14:textId="64D9F2BC" w:rsidR="00AF30C5" w:rsidRPr="0028260B" w:rsidRDefault="00AF30C5" w:rsidP="00AF30C5">
      <w:pPr>
        <w:spacing w:line="278" w:lineRule="auto"/>
        <w:jc w:val="center"/>
        <w:rPr>
          <w:rFonts w:ascii="Calibri" w:eastAsia="Calibri" w:hAnsi="Calibri" w:cs="Calibri"/>
          <w:b/>
          <w:bCs/>
          <w:color w:val="000000" w:themeColor="text1"/>
          <w:sz w:val="36"/>
          <w:szCs w:val="36"/>
          <w:highlight w:val="yellow"/>
        </w:rPr>
      </w:pPr>
      <w:r>
        <w:rPr>
          <w:rFonts w:ascii="Calibri" w:eastAsia="Calibri" w:hAnsi="Calibri" w:cs="Calibri"/>
          <w:b/>
          <w:bCs/>
          <w:color w:val="000000" w:themeColor="text1"/>
          <w:sz w:val="28"/>
          <w:szCs w:val="28"/>
        </w:rPr>
        <w:t>5 de junio</w:t>
      </w:r>
      <w:r w:rsidRPr="0028260B">
        <w:rPr>
          <w:rFonts w:ascii="Calibri" w:eastAsia="Calibri" w:hAnsi="Calibri" w:cs="Calibri"/>
          <w:b/>
          <w:bCs/>
          <w:color w:val="000000" w:themeColor="text1"/>
          <w:sz w:val="28"/>
          <w:szCs w:val="28"/>
        </w:rPr>
        <w:t xml:space="preserve"> | Día </w:t>
      </w:r>
      <w:r>
        <w:rPr>
          <w:rFonts w:ascii="Calibri" w:eastAsia="Calibri" w:hAnsi="Calibri" w:cs="Calibri"/>
          <w:b/>
          <w:bCs/>
          <w:color w:val="000000" w:themeColor="text1"/>
          <w:sz w:val="28"/>
          <w:szCs w:val="28"/>
        </w:rPr>
        <w:t>Mundial del Medioambiente</w:t>
      </w:r>
    </w:p>
    <w:p w14:paraId="50C34327" w14:textId="77777777" w:rsidR="003614A2" w:rsidRDefault="003614A2" w:rsidP="003614A2">
      <w:pPr>
        <w:pBdr>
          <w:top w:val="nil"/>
          <w:left w:val="nil"/>
          <w:bottom w:val="nil"/>
          <w:right w:val="nil"/>
          <w:between w:val="nil"/>
        </w:pBdr>
        <w:jc w:val="center"/>
        <w:rPr>
          <w:rFonts w:ascii="Calibri" w:eastAsia="Calibri" w:hAnsi="Calibri" w:cs="Calibri"/>
          <w:b/>
          <w:bCs/>
          <w:sz w:val="28"/>
          <w:szCs w:val="28"/>
        </w:rPr>
      </w:pPr>
    </w:p>
    <w:p w14:paraId="4B964AB8" w14:textId="2334F6C7" w:rsidR="004C2FB5" w:rsidRDefault="00481559" w:rsidP="004C2FB5">
      <w:pPr>
        <w:pBdr>
          <w:top w:val="nil"/>
          <w:left w:val="nil"/>
          <w:bottom w:val="nil"/>
          <w:right w:val="nil"/>
          <w:between w:val="nil"/>
        </w:pBdr>
        <w:jc w:val="center"/>
        <w:rPr>
          <w:rFonts w:ascii="Calibri" w:eastAsia="Calibri" w:hAnsi="Calibri" w:cs="Calibri"/>
          <w:b/>
          <w:bCs/>
          <w:color w:val="000000" w:themeColor="text1"/>
          <w:sz w:val="28"/>
          <w:szCs w:val="28"/>
        </w:rPr>
      </w:pPr>
      <w:r w:rsidRPr="00481559">
        <w:rPr>
          <w:rFonts w:ascii="Calibri" w:eastAsia="Calibri" w:hAnsi="Calibri" w:cs="Calibri"/>
          <w:b/>
          <w:bCs/>
          <w:color w:val="000000" w:themeColor="text1"/>
          <w:sz w:val="28"/>
          <w:szCs w:val="28"/>
        </w:rPr>
        <w:t>La preocupación mundial por el cambio climático se mantiene elevada, aunque comienzan a evidenciarse señales de desgaste.</w:t>
      </w:r>
    </w:p>
    <w:p w14:paraId="7385C64F" w14:textId="32D082D4" w:rsidR="00481559" w:rsidRDefault="00481559" w:rsidP="004C2FB5">
      <w:pPr>
        <w:pBdr>
          <w:top w:val="nil"/>
          <w:left w:val="nil"/>
          <w:bottom w:val="nil"/>
          <w:right w:val="nil"/>
          <w:between w:val="nil"/>
        </w:pBdr>
        <w:jc w:val="center"/>
        <w:rPr>
          <w:rFonts w:ascii="Calibri" w:eastAsia="Calibri" w:hAnsi="Calibri" w:cs="Calibri"/>
          <w:b/>
          <w:bCs/>
          <w:i/>
          <w:iCs/>
          <w:sz w:val="24"/>
          <w:szCs w:val="24"/>
        </w:rPr>
      </w:pPr>
      <w:r>
        <w:rPr>
          <w:rFonts w:ascii="Calibri" w:eastAsia="Calibri" w:hAnsi="Calibri" w:cs="Calibri"/>
          <w:b/>
          <w:bCs/>
          <w:i/>
          <w:iCs/>
          <w:color w:val="000000" w:themeColor="text1"/>
          <w:sz w:val="24"/>
          <w:szCs w:val="24"/>
        </w:rPr>
        <w:t xml:space="preserve">Los argentinos </w:t>
      </w:r>
      <w:r w:rsidRPr="00481559">
        <w:rPr>
          <w:rFonts w:ascii="Calibri" w:eastAsia="Calibri" w:hAnsi="Calibri" w:cs="Calibri"/>
          <w:b/>
          <w:bCs/>
          <w:i/>
          <w:iCs/>
          <w:color w:val="000000" w:themeColor="text1"/>
          <w:sz w:val="24"/>
          <w:szCs w:val="24"/>
        </w:rPr>
        <w:t>está</w:t>
      </w:r>
      <w:r>
        <w:rPr>
          <w:rFonts w:ascii="Calibri" w:eastAsia="Calibri" w:hAnsi="Calibri" w:cs="Calibri"/>
          <w:b/>
          <w:bCs/>
          <w:i/>
          <w:iCs/>
          <w:color w:val="000000" w:themeColor="text1"/>
          <w:sz w:val="24"/>
          <w:szCs w:val="24"/>
        </w:rPr>
        <w:t>n</w:t>
      </w:r>
      <w:r w:rsidRPr="00481559">
        <w:rPr>
          <w:rFonts w:ascii="Calibri" w:eastAsia="Calibri" w:hAnsi="Calibri" w:cs="Calibri"/>
          <w:b/>
          <w:bCs/>
          <w:i/>
          <w:iCs/>
          <w:color w:val="000000" w:themeColor="text1"/>
          <w:sz w:val="24"/>
          <w:szCs w:val="24"/>
        </w:rPr>
        <w:t xml:space="preserve"> dentro de l</w:t>
      </w:r>
      <w:r>
        <w:rPr>
          <w:rFonts w:ascii="Calibri" w:eastAsia="Calibri" w:hAnsi="Calibri" w:cs="Calibri"/>
          <w:b/>
          <w:bCs/>
          <w:i/>
          <w:iCs/>
          <w:color w:val="000000" w:themeColor="text1"/>
          <w:sz w:val="24"/>
          <w:szCs w:val="24"/>
        </w:rPr>
        <w:t>a</w:t>
      </w:r>
      <w:r w:rsidRPr="00481559">
        <w:rPr>
          <w:rFonts w:ascii="Calibri" w:eastAsia="Calibri" w:hAnsi="Calibri" w:cs="Calibri"/>
          <w:b/>
          <w:bCs/>
          <w:i/>
          <w:iCs/>
          <w:color w:val="000000" w:themeColor="text1"/>
          <w:sz w:val="24"/>
          <w:szCs w:val="24"/>
        </w:rPr>
        <w:t xml:space="preserve">s </w:t>
      </w:r>
      <w:r>
        <w:rPr>
          <w:rFonts w:ascii="Calibri" w:eastAsia="Calibri" w:hAnsi="Calibri" w:cs="Calibri"/>
          <w:b/>
          <w:bCs/>
          <w:i/>
          <w:iCs/>
          <w:color w:val="000000" w:themeColor="text1"/>
          <w:sz w:val="24"/>
          <w:szCs w:val="24"/>
        </w:rPr>
        <w:t xml:space="preserve">sociedades que </w:t>
      </w:r>
      <w:r w:rsidRPr="00481559">
        <w:rPr>
          <w:rFonts w:ascii="Calibri" w:eastAsia="Calibri" w:hAnsi="Calibri" w:cs="Calibri"/>
          <w:b/>
          <w:bCs/>
          <w:i/>
          <w:iCs/>
          <w:color w:val="000000" w:themeColor="text1"/>
          <w:sz w:val="24"/>
          <w:szCs w:val="24"/>
        </w:rPr>
        <w:t>más</w:t>
      </w:r>
      <w:r>
        <w:rPr>
          <w:rFonts w:ascii="Calibri" w:eastAsia="Calibri" w:hAnsi="Calibri" w:cs="Calibri"/>
          <w:b/>
          <w:bCs/>
          <w:i/>
          <w:iCs/>
          <w:color w:val="000000" w:themeColor="text1"/>
          <w:sz w:val="24"/>
          <w:szCs w:val="24"/>
        </w:rPr>
        <w:t xml:space="preserve"> </w:t>
      </w:r>
      <w:r w:rsidRPr="00481559">
        <w:rPr>
          <w:rFonts w:ascii="Calibri" w:eastAsia="Calibri" w:hAnsi="Calibri" w:cs="Calibri"/>
          <w:b/>
          <w:bCs/>
          <w:i/>
          <w:iCs/>
          <w:color w:val="000000" w:themeColor="text1"/>
          <w:sz w:val="24"/>
          <w:szCs w:val="24"/>
        </w:rPr>
        <w:t xml:space="preserve">señalan </w:t>
      </w:r>
      <w:r w:rsidRPr="00481559">
        <w:rPr>
          <w:rFonts w:ascii="Calibri" w:eastAsia="Calibri" w:hAnsi="Calibri" w:cs="Calibri"/>
          <w:b/>
          <w:bCs/>
          <w:i/>
          <w:iCs/>
          <w:sz w:val="24"/>
          <w:szCs w:val="24"/>
        </w:rPr>
        <w:t>que le</w:t>
      </w:r>
      <w:r>
        <w:rPr>
          <w:rFonts w:ascii="Calibri" w:eastAsia="Calibri" w:hAnsi="Calibri" w:cs="Calibri"/>
          <w:b/>
          <w:bCs/>
          <w:i/>
          <w:iCs/>
          <w:sz w:val="24"/>
          <w:szCs w:val="24"/>
        </w:rPr>
        <w:t>s</w:t>
      </w:r>
      <w:r w:rsidRPr="00481559">
        <w:rPr>
          <w:rFonts w:ascii="Calibri" w:eastAsia="Calibri" w:hAnsi="Calibri" w:cs="Calibri"/>
          <w:b/>
          <w:bCs/>
          <w:i/>
          <w:iCs/>
          <w:sz w:val="24"/>
          <w:szCs w:val="24"/>
        </w:rPr>
        <w:t xml:space="preserve"> gustaría vivir de manera más sustentable, pero no hace</w:t>
      </w:r>
      <w:r w:rsidR="005456C7">
        <w:rPr>
          <w:rFonts w:ascii="Calibri" w:eastAsia="Calibri" w:hAnsi="Calibri" w:cs="Calibri"/>
          <w:b/>
          <w:bCs/>
          <w:i/>
          <w:iCs/>
          <w:sz w:val="24"/>
          <w:szCs w:val="24"/>
        </w:rPr>
        <w:t>n</w:t>
      </w:r>
      <w:r w:rsidRPr="00481559">
        <w:rPr>
          <w:rFonts w:ascii="Calibri" w:eastAsia="Calibri" w:hAnsi="Calibri" w:cs="Calibri"/>
          <w:b/>
          <w:bCs/>
          <w:i/>
          <w:iCs/>
          <w:sz w:val="24"/>
          <w:szCs w:val="24"/>
        </w:rPr>
        <w:t xml:space="preserve"> los cambios necesarios en su comportamiento</w:t>
      </w:r>
    </w:p>
    <w:p w14:paraId="6A7CA32B" w14:textId="77777777" w:rsidR="00481559" w:rsidRPr="00481559" w:rsidRDefault="00481559" w:rsidP="004C2FB5">
      <w:pPr>
        <w:pBdr>
          <w:top w:val="nil"/>
          <w:left w:val="nil"/>
          <w:bottom w:val="nil"/>
          <w:right w:val="nil"/>
          <w:between w:val="nil"/>
        </w:pBdr>
        <w:jc w:val="center"/>
        <w:rPr>
          <w:rFonts w:ascii="Calibri" w:eastAsia="Calibri" w:hAnsi="Calibri" w:cs="Calibri"/>
          <w:b/>
          <w:bCs/>
          <w:i/>
          <w:iCs/>
          <w:color w:val="000000" w:themeColor="text1"/>
          <w:sz w:val="24"/>
          <w:szCs w:val="24"/>
        </w:rPr>
      </w:pPr>
    </w:p>
    <w:p w14:paraId="2B81C7D9" w14:textId="411DF2CC" w:rsidR="00AF30C5" w:rsidRPr="00D03849" w:rsidRDefault="00AF30C5" w:rsidP="00C263CC">
      <w:pPr>
        <w:pBdr>
          <w:top w:val="nil"/>
          <w:left w:val="nil"/>
          <w:bottom w:val="nil"/>
          <w:right w:val="nil"/>
          <w:between w:val="nil"/>
        </w:pBdr>
        <w:jc w:val="both"/>
        <w:rPr>
          <w:rFonts w:ascii="Calibri" w:eastAsia="Calibri" w:hAnsi="Calibri" w:cs="Calibri"/>
          <w:i/>
          <w:iCs/>
          <w:sz w:val="24"/>
          <w:szCs w:val="24"/>
        </w:rPr>
      </w:pPr>
      <w:r>
        <w:rPr>
          <w:rFonts w:ascii="Calibri" w:eastAsia="Calibri" w:hAnsi="Calibri" w:cs="Calibri"/>
          <w:i/>
          <w:iCs/>
          <w:sz w:val="24"/>
          <w:szCs w:val="24"/>
        </w:rPr>
        <w:t>5 de junio</w:t>
      </w:r>
      <w:r w:rsidRPr="00D03849">
        <w:rPr>
          <w:rFonts w:ascii="Calibri" w:eastAsia="Calibri" w:hAnsi="Calibri" w:cs="Calibri"/>
          <w:i/>
          <w:iCs/>
          <w:sz w:val="24"/>
          <w:szCs w:val="24"/>
        </w:rPr>
        <w:t xml:space="preserve"> de 2026</w:t>
      </w:r>
    </w:p>
    <w:p w14:paraId="20C0B43F" w14:textId="77777777" w:rsidR="00AF30C5" w:rsidRPr="007B4138" w:rsidRDefault="00AF30C5" w:rsidP="00C263CC">
      <w:pPr>
        <w:pBdr>
          <w:top w:val="nil"/>
          <w:left w:val="nil"/>
          <w:bottom w:val="nil"/>
          <w:right w:val="nil"/>
          <w:between w:val="nil"/>
        </w:pBdr>
        <w:jc w:val="both"/>
        <w:rPr>
          <w:rFonts w:ascii="Calibri" w:eastAsia="Calibri" w:hAnsi="Calibri" w:cs="Calibri"/>
          <w:sz w:val="24"/>
          <w:szCs w:val="24"/>
        </w:rPr>
      </w:pPr>
      <w:r w:rsidRPr="007B4138">
        <w:rPr>
          <w:rFonts w:ascii="Calibri" w:eastAsia="Calibri" w:hAnsi="Calibri" w:cs="Calibri"/>
          <w:sz w:val="24"/>
          <w:szCs w:val="24"/>
        </w:rPr>
        <w:t xml:space="preserve">La </w:t>
      </w:r>
      <w:proofErr w:type="spellStart"/>
      <w:r w:rsidRPr="007B4138">
        <w:rPr>
          <w:rFonts w:ascii="Calibri" w:eastAsia="Calibri" w:hAnsi="Calibri" w:cs="Calibri"/>
          <w:b/>
          <w:bCs/>
          <w:i/>
          <w:iCs/>
          <w:sz w:val="24"/>
          <w:szCs w:val="24"/>
        </w:rPr>
        <w:t>Worldwide</w:t>
      </w:r>
      <w:proofErr w:type="spellEnd"/>
      <w:r w:rsidRPr="007B4138">
        <w:rPr>
          <w:rFonts w:ascii="Calibri" w:eastAsia="Calibri" w:hAnsi="Calibri" w:cs="Calibri"/>
          <w:b/>
          <w:bCs/>
          <w:i/>
          <w:iCs/>
          <w:sz w:val="24"/>
          <w:szCs w:val="24"/>
        </w:rPr>
        <w:t xml:space="preserve"> Independent Network </w:t>
      </w:r>
      <w:proofErr w:type="spellStart"/>
      <w:r w:rsidRPr="007B4138">
        <w:rPr>
          <w:rFonts w:ascii="Calibri" w:eastAsia="Calibri" w:hAnsi="Calibri" w:cs="Calibri"/>
          <w:b/>
          <w:bCs/>
          <w:i/>
          <w:iCs/>
          <w:sz w:val="24"/>
          <w:szCs w:val="24"/>
        </w:rPr>
        <w:t>of</w:t>
      </w:r>
      <w:proofErr w:type="spellEnd"/>
      <w:r w:rsidRPr="007B4138">
        <w:rPr>
          <w:rFonts w:ascii="Calibri" w:eastAsia="Calibri" w:hAnsi="Calibri" w:cs="Calibri"/>
          <w:b/>
          <w:bCs/>
          <w:i/>
          <w:iCs/>
          <w:sz w:val="24"/>
          <w:szCs w:val="24"/>
        </w:rPr>
        <w:t xml:space="preserve"> Market </w:t>
      </w:r>
      <w:proofErr w:type="spellStart"/>
      <w:r w:rsidRPr="007B4138">
        <w:rPr>
          <w:rFonts w:ascii="Calibri" w:eastAsia="Calibri" w:hAnsi="Calibri" w:cs="Calibri"/>
          <w:b/>
          <w:bCs/>
          <w:i/>
          <w:iCs/>
          <w:sz w:val="24"/>
          <w:szCs w:val="24"/>
        </w:rPr>
        <w:t>Research</w:t>
      </w:r>
      <w:proofErr w:type="spellEnd"/>
      <w:r w:rsidRPr="007B4138">
        <w:rPr>
          <w:rFonts w:ascii="Calibri" w:eastAsia="Calibri" w:hAnsi="Calibri" w:cs="Calibri"/>
          <w:b/>
          <w:bCs/>
          <w:i/>
          <w:iCs/>
          <w:sz w:val="24"/>
          <w:szCs w:val="24"/>
        </w:rPr>
        <w:t xml:space="preserve"> </w:t>
      </w:r>
      <w:r w:rsidRPr="007B4138">
        <w:rPr>
          <w:rFonts w:ascii="Calibri" w:eastAsia="Calibri" w:hAnsi="Calibri" w:cs="Calibri"/>
          <w:b/>
          <w:bCs/>
          <w:sz w:val="24"/>
          <w:szCs w:val="24"/>
        </w:rPr>
        <w:t>(WIN),</w:t>
      </w:r>
      <w:r w:rsidRPr="007B4138">
        <w:rPr>
          <w:rFonts w:ascii="Calibri" w:eastAsia="Calibri" w:hAnsi="Calibri" w:cs="Calibri"/>
          <w:sz w:val="24"/>
          <w:szCs w:val="24"/>
        </w:rPr>
        <w:t xml:space="preserve"> la principal asociación global de firmas independientes de investigación de mercado y encuestas de opinión </w:t>
      </w:r>
      <w:r w:rsidRPr="007B4138">
        <w:rPr>
          <w:rFonts w:ascii="Calibri" w:eastAsia="Calibri" w:hAnsi="Calibri" w:cs="Calibri"/>
          <w:b/>
          <w:bCs/>
          <w:sz w:val="24"/>
          <w:szCs w:val="24"/>
        </w:rPr>
        <w:t>y Voices! en Argentina</w:t>
      </w:r>
      <w:r w:rsidRPr="007B4138">
        <w:rPr>
          <w:rFonts w:ascii="Calibri" w:eastAsia="Calibri" w:hAnsi="Calibri" w:cs="Calibri"/>
          <w:sz w:val="24"/>
          <w:szCs w:val="24"/>
        </w:rPr>
        <w:t>, han publicado</w:t>
      </w:r>
      <w:r w:rsidRPr="007B4138">
        <w:rPr>
          <w:rFonts w:ascii="Calibri" w:hAnsi="Calibri" w:cs="Calibri"/>
          <w:sz w:val="24"/>
          <w:szCs w:val="24"/>
        </w:rPr>
        <w:t xml:space="preserve"> nuevos hallazgos de su encuesta </w:t>
      </w:r>
      <w:proofErr w:type="spellStart"/>
      <w:r w:rsidRPr="007B4138">
        <w:rPr>
          <w:rFonts w:ascii="Calibri" w:hAnsi="Calibri" w:cs="Calibri"/>
          <w:i/>
          <w:iCs/>
          <w:sz w:val="24"/>
          <w:szCs w:val="24"/>
        </w:rPr>
        <w:t>Worldviews</w:t>
      </w:r>
      <w:proofErr w:type="spellEnd"/>
      <w:r w:rsidRPr="007B4138">
        <w:rPr>
          <w:rFonts w:ascii="Calibri" w:hAnsi="Calibri" w:cs="Calibri"/>
          <w:i/>
          <w:iCs/>
          <w:sz w:val="24"/>
          <w:szCs w:val="24"/>
        </w:rPr>
        <w:t xml:space="preserve"> </w:t>
      </w:r>
      <w:proofErr w:type="spellStart"/>
      <w:r w:rsidRPr="007B4138">
        <w:rPr>
          <w:rFonts w:ascii="Calibri" w:hAnsi="Calibri" w:cs="Calibri"/>
          <w:i/>
          <w:iCs/>
          <w:sz w:val="24"/>
          <w:szCs w:val="24"/>
        </w:rPr>
        <w:t>Survey</w:t>
      </w:r>
      <w:proofErr w:type="spellEnd"/>
      <w:r w:rsidRPr="007B4138">
        <w:rPr>
          <w:rFonts w:ascii="Calibri" w:eastAsia="Calibri" w:hAnsi="Calibri" w:cs="Calibri"/>
          <w:sz w:val="24"/>
          <w:szCs w:val="24"/>
        </w:rPr>
        <w:t xml:space="preserve">. La encuesta de este año recopila las perspectivas y creencias de 45.000 personas en 45 países. </w:t>
      </w:r>
    </w:p>
    <w:p w14:paraId="15633D43" w14:textId="62D713EE" w:rsidR="00AF30C5" w:rsidRPr="000B2BD2" w:rsidRDefault="00AF30C5" w:rsidP="00C263CC">
      <w:pPr>
        <w:pBdr>
          <w:top w:val="nil"/>
          <w:left w:val="nil"/>
          <w:bottom w:val="nil"/>
          <w:right w:val="nil"/>
          <w:between w:val="nil"/>
        </w:pBdr>
        <w:jc w:val="both"/>
        <w:rPr>
          <w:rFonts w:ascii="Calibri" w:eastAsia="Calibri" w:hAnsi="Calibri" w:cs="Calibri"/>
          <w:b/>
          <w:bCs/>
          <w:sz w:val="24"/>
          <w:szCs w:val="24"/>
        </w:rPr>
      </w:pPr>
      <w:r w:rsidRPr="00D03849">
        <w:rPr>
          <w:rFonts w:ascii="Calibri" w:eastAsia="Calibri" w:hAnsi="Calibri" w:cs="Calibri"/>
          <w:sz w:val="24"/>
          <w:szCs w:val="24"/>
        </w:rPr>
        <w:t xml:space="preserve">De cara al </w:t>
      </w:r>
      <w:r w:rsidRPr="00AF30C5">
        <w:rPr>
          <w:rFonts w:ascii="Calibri" w:eastAsia="Calibri" w:hAnsi="Calibri" w:cs="Calibri"/>
          <w:b/>
          <w:bCs/>
          <w:sz w:val="24"/>
          <w:szCs w:val="24"/>
        </w:rPr>
        <w:t>Día Mundial del Medioambiente</w:t>
      </w:r>
      <w:r w:rsidRPr="00D03849">
        <w:rPr>
          <w:rFonts w:ascii="Calibri" w:eastAsia="Calibri" w:hAnsi="Calibri" w:cs="Calibri"/>
          <w:sz w:val="24"/>
          <w:szCs w:val="24"/>
        </w:rPr>
        <w:t>,</w:t>
      </w:r>
      <w:r w:rsidRPr="00AF30C5">
        <w:rPr>
          <w:rFonts w:ascii="Calibri" w:eastAsia="Calibri" w:hAnsi="Calibri" w:cs="Calibri"/>
          <w:sz w:val="24"/>
          <w:szCs w:val="24"/>
        </w:rPr>
        <w:t xml:space="preserve"> </w:t>
      </w:r>
      <w:r w:rsidRPr="000B2BD2">
        <w:rPr>
          <w:rFonts w:ascii="Calibri" w:eastAsia="Calibri" w:hAnsi="Calibri" w:cs="Calibri"/>
          <w:sz w:val="24"/>
          <w:szCs w:val="24"/>
        </w:rPr>
        <w:t xml:space="preserve">los datos destacan un claro consenso global: </w:t>
      </w:r>
      <w:r w:rsidRPr="00AF30C5">
        <w:rPr>
          <w:rFonts w:ascii="Calibri" w:eastAsia="Calibri" w:hAnsi="Calibri" w:cs="Calibri"/>
          <w:b/>
          <w:bCs/>
          <w:sz w:val="24"/>
          <w:szCs w:val="24"/>
        </w:rPr>
        <w:t>el cambio climático continúa siendo un problema ampliamente reconocido y</w:t>
      </w:r>
      <w:r w:rsidR="000D5932">
        <w:rPr>
          <w:rFonts w:ascii="Calibri" w:eastAsia="Calibri" w:hAnsi="Calibri" w:cs="Calibri"/>
          <w:b/>
          <w:bCs/>
          <w:sz w:val="24"/>
          <w:szCs w:val="24"/>
        </w:rPr>
        <w:t xml:space="preserve"> considerado</w:t>
      </w:r>
      <w:r w:rsidRPr="00AF30C5">
        <w:rPr>
          <w:rFonts w:ascii="Calibri" w:eastAsia="Calibri" w:hAnsi="Calibri" w:cs="Calibri"/>
          <w:b/>
          <w:bCs/>
          <w:sz w:val="24"/>
          <w:szCs w:val="24"/>
        </w:rPr>
        <w:t xml:space="preserve"> urgente. Sin embargo</w:t>
      </w:r>
      <w:r w:rsidRPr="000B2BD2">
        <w:rPr>
          <w:rFonts w:ascii="Calibri" w:eastAsia="Calibri" w:hAnsi="Calibri" w:cs="Calibri"/>
          <w:sz w:val="24"/>
          <w:szCs w:val="24"/>
        </w:rPr>
        <w:t xml:space="preserve">, </w:t>
      </w:r>
      <w:r w:rsidR="000D5932">
        <w:rPr>
          <w:rFonts w:ascii="Calibri" w:eastAsia="Calibri" w:hAnsi="Calibri" w:cs="Calibri"/>
          <w:sz w:val="24"/>
          <w:szCs w:val="24"/>
        </w:rPr>
        <w:t xml:space="preserve">aunque </w:t>
      </w:r>
      <w:r w:rsidRPr="009952ED">
        <w:rPr>
          <w:rFonts w:ascii="Calibri" w:eastAsia="Calibri" w:hAnsi="Calibri" w:cs="Calibri"/>
          <w:b/>
          <w:bCs/>
          <w:sz w:val="24"/>
          <w:szCs w:val="24"/>
        </w:rPr>
        <w:t>la preocupación sigue siendo alta,</w:t>
      </w:r>
      <w:r w:rsidRPr="000B2BD2">
        <w:rPr>
          <w:rFonts w:ascii="Calibri" w:eastAsia="Calibri" w:hAnsi="Calibri" w:cs="Calibri"/>
          <w:b/>
          <w:bCs/>
          <w:sz w:val="24"/>
          <w:szCs w:val="24"/>
        </w:rPr>
        <w:t xml:space="preserve"> indicadores clave muestran señales de un debilitamiento gradual, </w:t>
      </w:r>
      <w:r w:rsidRPr="009952ED">
        <w:rPr>
          <w:rFonts w:ascii="Calibri" w:eastAsia="Calibri" w:hAnsi="Calibri" w:cs="Calibri"/>
          <w:sz w:val="24"/>
          <w:szCs w:val="24"/>
        </w:rPr>
        <w:t>a medida que las presiones económicas, las realidades locales y la confianza institucional redefinen la manera en que las personas se vinculan con la sostenibilidad.</w:t>
      </w:r>
    </w:p>
    <w:p w14:paraId="348B00DF" w14:textId="06B99C68" w:rsidR="00AF30C5" w:rsidRPr="000B2BD2" w:rsidRDefault="00C263CC" w:rsidP="00C263CC">
      <w:pPr>
        <w:jc w:val="both"/>
        <w:rPr>
          <w:rFonts w:ascii="Calibri" w:eastAsia="Calibri" w:hAnsi="Calibri" w:cs="Calibri"/>
          <w:b/>
          <w:bCs/>
          <w:sz w:val="24"/>
          <w:szCs w:val="24"/>
        </w:rPr>
      </w:pPr>
      <w:r w:rsidRPr="009952ED">
        <w:rPr>
          <w:rFonts w:ascii="Calibri" w:eastAsia="Calibri" w:hAnsi="Calibri" w:cs="Calibri"/>
          <w:sz w:val="24"/>
          <w:szCs w:val="24"/>
        </w:rPr>
        <w:t xml:space="preserve">La encuesta ha monitoreado la evolución de muchos de estos indicadores durante los últimos seis años, desde su inicio en 2019, permitiendo analizar </w:t>
      </w:r>
      <w:r w:rsidRPr="000B2BD2">
        <w:rPr>
          <w:rFonts w:ascii="Calibri" w:eastAsia="Calibri" w:hAnsi="Calibri" w:cs="Calibri"/>
          <w:b/>
          <w:bCs/>
          <w:sz w:val="24"/>
          <w:szCs w:val="24"/>
        </w:rPr>
        <w:t>cómo han cambiado las percepciones y actitudes hacia el medioambiente y el cambio climático a nivel global.</w:t>
      </w:r>
    </w:p>
    <w:p w14:paraId="783E4236" w14:textId="3148B21F" w:rsidR="00C263CC" w:rsidRPr="00C263CC" w:rsidRDefault="00C263CC" w:rsidP="00C263CC">
      <w:pPr>
        <w:jc w:val="both"/>
        <w:rPr>
          <w:rFonts w:ascii="Calibri" w:eastAsia="Calibri" w:hAnsi="Calibri" w:cs="Calibri"/>
          <w:sz w:val="24"/>
          <w:szCs w:val="24"/>
        </w:rPr>
      </w:pPr>
      <w:r w:rsidRPr="00C263CC">
        <w:rPr>
          <w:rFonts w:ascii="Calibri" w:eastAsia="Calibri" w:hAnsi="Calibri" w:cs="Calibri"/>
          <w:sz w:val="24"/>
          <w:szCs w:val="24"/>
        </w:rPr>
        <w:t>A continuación, los principales hallazgos:</w:t>
      </w:r>
    </w:p>
    <w:p w14:paraId="3544F64C" w14:textId="77777777" w:rsidR="00C263CC" w:rsidRPr="00C263CC" w:rsidRDefault="00C263CC" w:rsidP="00C263CC">
      <w:pPr>
        <w:jc w:val="both"/>
        <w:rPr>
          <w:b/>
          <w:bCs/>
          <w:color w:val="388600"/>
        </w:rPr>
      </w:pPr>
    </w:p>
    <w:p w14:paraId="37DC0F01" w14:textId="125AB8F2" w:rsidR="00C032AF" w:rsidRPr="00C263CC" w:rsidRDefault="00C032AF" w:rsidP="00C263CC">
      <w:pPr>
        <w:jc w:val="both"/>
        <w:rPr>
          <w:rFonts w:ascii="Calibri" w:eastAsia="Calibri" w:hAnsi="Calibri" w:cs="Calibri"/>
          <w:b/>
          <w:bCs/>
          <w:color w:val="388600"/>
          <w:sz w:val="24"/>
          <w:szCs w:val="24"/>
        </w:rPr>
      </w:pPr>
      <w:r w:rsidRPr="00C263CC">
        <w:rPr>
          <w:rFonts w:ascii="Calibri" w:eastAsia="Calibri" w:hAnsi="Calibri" w:cs="Calibri"/>
          <w:b/>
          <w:bCs/>
          <w:color w:val="388600"/>
          <w:sz w:val="24"/>
          <w:szCs w:val="24"/>
        </w:rPr>
        <w:t xml:space="preserve">La fuerte preocupación </w:t>
      </w:r>
      <w:r w:rsidR="000B2BD2">
        <w:rPr>
          <w:rFonts w:ascii="Calibri" w:eastAsia="Calibri" w:hAnsi="Calibri" w:cs="Calibri"/>
          <w:b/>
          <w:bCs/>
          <w:color w:val="388600"/>
          <w:sz w:val="24"/>
          <w:szCs w:val="24"/>
        </w:rPr>
        <w:t>por el calentamiento global</w:t>
      </w:r>
      <w:r w:rsidRPr="00C263CC">
        <w:rPr>
          <w:rFonts w:ascii="Calibri" w:eastAsia="Calibri" w:hAnsi="Calibri" w:cs="Calibri"/>
          <w:b/>
          <w:bCs/>
          <w:color w:val="388600"/>
          <w:sz w:val="24"/>
          <w:szCs w:val="24"/>
        </w:rPr>
        <w:t xml:space="preserve"> persiste, aunque aparecen señales de debilitamiento</w:t>
      </w:r>
      <w:r w:rsidR="00033636">
        <w:rPr>
          <w:rFonts w:ascii="Calibri" w:eastAsia="Calibri" w:hAnsi="Calibri" w:cs="Calibri"/>
          <w:b/>
          <w:bCs/>
          <w:color w:val="388600"/>
          <w:sz w:val="24"/>
          <w:szCs w:val="24"/>
        </w:rPr>
        <w:t xml:space="preserve"> </w:t>
      </w:r>
    </w:p>
    <w:p w14:paraId="10386B90" w14:textId="4B1000EE" w:rsidR="00C032AF" w:rsidRPr="00C263CC" w:rsidRDefault="00C263CC" w:rsidP="00C263CC">
      <w:pPr>
        <w:jc w:val="both"/>
        <w:rPr>
          <w:rFonts w:ascii="Calibri" w:eastAsia="Calibri" w:hAnsi="Calibri" w:cs="Calibri"/>
          <w:sz w:val="24"/>
          <w:szCs w:val="24"/>
        </w:rPr>
      </w:pPr>
      <w:r w:rsidRPr="00C263CC">
        <w:rPr>
          <w:rFonts w:ascii="Calibri" w:eastAsia="Calibri" w:hAnsi="Calibri" w:cs="Calibri"/>
          <w:b/>
          <w:bCs/>
          <w:sz w:val="24"/>
          <w:szCs w:val="24"/>
        </w:rPr>
        <w:t>A nivel global,</w:t>
      </w:r>
      <w:r w:rsidR="00C032AF" w:rsidRPr="00C263CC">
        <w:rPr>
          <w:rFonts w:ascii="Calibri" w:eastAsia="Calibri" w:hAnsi="Calibri" w:cs="Calibri"/>
          <w:b/>
          <w:bCs/>
          <w:sz w:val="24"/>
          <w:szCs w:val="24"/>
        </w:rPr>
        <w:t xml:space="preserve"> el 81% de las personas considera que el calentamiento global es una amenaza seria para la humanidad</w:t>
      </w:r>
      <w:r w:rsidR="00C032AF" w:rsidRPr="00C263CC">
        <w:rPr>
          <w:rFonts w:ascii="Calibri" w:eastAsia="Calibri" w:hAnsi="Calibri" w:cs="Calibri"/>
          <w:sz w:val="24"/>
          <w:szCs w:val="24"/>
        </w:rPr>
        <w:t xml:space="preserve">, lo que demuestra un reconocimiento casi universal del problema. A pesar de este fuerte consenso, </w:t>
      </w:r>
      <w:r w:rsidR="00C032AF" w:rsidRPr="000B2BD2">
        <w:rPr>
          <w:rFonts w:ascii="Calibri" w:eastAsia="Calibri" w:hAnsi="Calibri" w:cs="Calibri"/>
          <w:b/>
          <w:bCs/>
          <w:sz w:val="24"/>
          <w:szCs w:val="24"/>
        </w:rPr>
        <w:t xml:space="preserve">los datos revelan una leve caída en la </w:t>
      </w:r>
      <w:r w:rsidR="00C032AF" w:rsidRPr="000B2BD2">
        <w:rPr>
          <w:rFonts w:ascii="Calibri" w:eastAsia="Calibri" w:hAnsi="Calibri" w:cs="Calibri"/>
          <w:b/>
          <w:bCs/>
          <w:sz w:val="24"/>
          <w:szCs w:val="24"/>
        </w:rPr>
        <w:lastRenderedPageBreak/>
        <w:t xml:space="preserve">preocupación ambiental </w:t>
      </w:r>
      <w:r w:rsidR="00C032AF" w:rsidRPr="00C263CC">
        <w:rPr>
          <w:rFonts w:ascii="Calibri" w:eastAsia="Calibri" w:hAnsi="Calibri" w:cs="Calibri"/>
          <w:sz w:val="24"/>
          <w:szCs w:val="24"/>
        </w:rPr>
        <w:t>en comparación con años anteriores</w:t>
      </w:r>
      <w:r>
        <w:rPr>
          <w:rFonts w:ascii="Calibri" w:eastAsia="Calibri" w:hAnsi="Calibri" w:cs="Calibri"/>
          <w:sz w:val="24"/>
          <w:szCs w:val="24"/>
        </w:rPr>
        <w:t xml:space="preserve"> (86%</w:t>
      </w:r>
      <w:r w:rsidR="000B2BD2">
        <w:rPr>
          <w:rFonts w:ascii="Calibri" w:eastAsia="Calibri" w:hAnsi="Calibri" w:cs="Calibri"/>
          <w:sz w:val="24"/>
          <w:szCs w:val="24"/>
        </w:rPr>
        <w:t xml:space="preserve"> lo consideraba una seria amenaza</w:t>
      </w:r>
      <w:r>
        <w:rPr>
          <w:rFonts w:ascii="Calibri" w:eastAsia="Calibri" w:hAnsi="Calibri" w:cs="Calibri"/>
          <w:sz w:val="24"/>
          <w:szCs w:val="24"/>
        </w:rPr>
        <w:t xml:space="preserve"> en 2021 y 83% en 2022). </w:t>
      </w:r>
    </w:p>
    <w:p w14:paraId="6AF2F984" w14:textId="77777777" w:rsidR="004A7C1F" w:rsidRDefault="004A7C1F" w:rsidP="00C263CC">
      <w:pPr>
        <w:jc w:val="both"/>
        <w:rPr>
          <w:rFonts w:ascii="Calibri" w:eastAsia="Calibri" w:hAnsi="Calibri" w:cs="Calibri"/>
          <w:sz w:val="24"/>
          <w:szCs w:val="24"/>
        </w:rPr>
      </w:pPr>
    </w:p>
    <w:p w14:paraId="0B6E587E" w14:textId="409E6187" w:rsidR="00B67B0C" w:rsidRDefault="009952ED" w:rsidP="00C263CC">
      <w:pPr>
        <w:jc w:val="both"/>
        <w:rPr>
          <w:rFonts w:ascii="Calibri" w:eastAsia="Calibri" w:hAnsi="Calibri" w:cs="Calibri"/>
          <w:sz w:val="24"/>
          <w:szCs w:val="24"/>
        </w:rPr>
      </w:pPr>
      <w:r>
        <w:rPr>
          <w:rFonts w:ascii="Calibri" w:eastAsia="Calibri" w:hAnsi="Calibri" w:cs="Calibri"/>
          <w:sz w:val="24"/>
          <w:szCs w:val="24"/>
        </w:rPr>
        <w:t>Los</w:t>
      </w:r>
      <w:r w:rsidR="00C032AF" w:rsidRPr="00C263CC">
        <w:rPr>
          <w:rFonts w:ascii="Calibri" w:eastAsia="Calibri" w:hAnsi="Calibri" w:cs="Calibri"/>
          <w:sz w:val="24"/>
          <w:szCs w:val="24"/>
        </w:rPr>
        <w:t xml:space="preserve"> </w:t>
      </w:r>
      <w:r w:rsidR="00C032AF" w:rsidRPr="00C263CC">
        <w:rPr>
          <w:rFonts w:ascii="Calibri" w:eastAsia="Calibri" w:hAnsi="Calibri" w:cs="Calibri"/>
          <w:b/>
          <w:bCs/>
          <w:sz w:val="24"/>
          <w:szCs w:val="24"/>
        </w:rPr>
        <w:t xml:space="preserve">mayores niveles de preocupación </w:t>
      </w:r>
      <w:r w:rsidRPr="009952ED">
        <w:rPr>
          <w:rFonts w:ascii="Calibri" w:eastAsia="Calibri" w:hAnsi="Calibri" w:cs="Calibri"/>
          <w:sz w:val="24"/>
          <w:szCs w:val="24"/>
        </w:rPr>
        <w:t>se encuentran en la</w:t>
      </w:r>
      <w:r w:rsidRPr="00F52646">
        <w:rPr>
          <w:rFonts w:ascii="Calibri" w:eastAsia="Calibri" w:hAnsi="Calibri" w:cs="Calibri"/>
          <w:b/>
          <w:bCs/>
          <w:sz w:val="24"/>
          <w:szCs w:val="24"/>
        </w:rPr>
        <w:t xml:space="preserve"> </w:t>
      </w:r>
      <w:r w:rsidR="009F2061">
        <w:rPr>
          <w:rFonts w:ascii="Calibri" w:eastAsia="Calibri" w:hAnsi="Calibri" w:cs="Calibri"/>
          <w:b/>
          <w:bCs/>
          <w:sz w:val="24"/>
          <w:szCs w:val="24"/>
        </w:rPr>
        <w:t xml:space="preserve">América y en la región de </w:t>
      </w:r>
      <w:r w:rsidRPr="00F52646">
        <w:rPr>
          <w:rFonts w:ascii="Calibri" w:eastAsia="Calibri" w:hAnsi="Calibri" w:cs="Calibri"/>
          <w:b/>
          <w:bCs/>
          <w:sz w:val="24"/>
          <w:szCs w:val="24"/>
        </w:rPr>
        <w:t>Asia-Pacífico (APAC)</w:t>
      </w:r>
      <w:r w:rsidR="00C032AF" w:rsidRPr="00C263CC">
        <w:rPr>
          <w:rFonts w:ascii="Calibri" w:eastAsia="Calibri" w:hAnsi="Calibri" w:cs="Calibri"/>
          <w:b/>
          <w:bCs/>
          <w:sz w:val="24"/>
          <w:szCs w:val="24"/>
        </w:rPr>
        <w:t>, mientras que partes de Europa muestran niveles comparativamente más bajos</w:t>
      </w:r>
      <w:r w:rsidR="00C032AF" w:rsidRPr="00C263CC">
        <w:rPr>
          <w:rFonts w:ascii="Calibri" w:eastAsia="Calibri" w:hAnsi="Calibri" w:cs="Calibri"/>
          <w:sz w:val="24"/>
          <w:szCs w:val="24"/>
        </w:rPr>
        <w:t xml:space="preserve">, lo que evidencia cómo el contexto local </w:t>
      </w:r>
      <w:r w:rsidR="000B2BD2">
        <w:rPr>
          <w:rFonts w:ascii="Calibri" w:eastAsia="Calibri" w:hAnsi="Calibri" w:cs="Calibri"/>
          <w:sz w:val="24"/>
          <w:szCs w:val="24"/>
        </w:rPr>
        <w:t>moldea</w:t>
      </w:r>
      <w:r w:rsidR="00C032AF" w:rsidRPr="00C263CC">
        <w:rPr>
          <w:rFonts w:ascii="Calibri" w:eastAsia="Calibri" w:hAnsi="Calibri" w:cs="Calibri"/>
          <w:sz w:val="24"/>
          <w:szCs w:val="24"/>
        </w:rPr>
        <w:t xml:space="preserve"> las actitudes globales.</w:t>
      </w:r>
      <w:r w:rsidR="000B2BD2">
        <w:rPr>
          <w:rFonts w:ascii="Calibri" w:eastAsia="Calibri" w:hAnsi="Calibri" w:cs="Calibri"/>
          <w:sz w:val="24"/>
          <w:szCs w:val="24"/>
        </w:rPr>
        <w:t xml:space="preserve"> </w:t>
      </w:r>
    </w:p>
    <w:p w14:paraId="40BC0647" w14:textId="10A0D458" w:rsidR="00784E99" w:rsidRDefault="0079606D" w:rsidP="00C263CC">
      <w:pPr>
        <w:jc w:val="both"/>
        <w:rPr>
          <w:rFonts w:ascii="Calibri" w:eastAsia="Calibri" w:hAnsi="Calibri" w:cs="Calibri"/>
          <w:b/>
          <w:bCs/>
          <w:sz w:val="24"/>
          <w:szCs w:val="24"/>
        </w:rPr>
      </w:pPr>
      <w:r>
        <w:rPr>
          <w:rFonts w:ascii="Calibri" w:eastAsia="Calibri" w:hAnsi="Calibri" w:cs="Calibri"/>
          <w:sz w:val="24"/>
          <w:szCs w:val="24"/>
        </w:rPr>
        <w:t xml:space="preserve">Tal como lo </w:t>
      </w:r>
      <w:r w:rsidR="00904762">
        <w:rPr>
          <w:rFonts w:ascii="Calibri" w:eastAsia="Calibri" w:hAnsi="Calibri" w:cs="Calibri"/>
          <w:sz w:val="24"/>
          <w:szCs w:val="24"/>
        </w:rPr>
        <w:t>muestran los resultados</w:t>
      </w:r>
      <w:r>
        <w:rPr>
          <w:rFonts w:ascii="Calibri" w:eastAsia="Calibri" w:hAnsi="Calibri" w:cs="Calibri"/>
          <w:sz w:val="24"/>
          <w:szCs w:val="24"/>
        </w:rPr>
        <w:t xml:space="preserve">, </w:t>
      </w:r>
      <w:r w:rsidR="00C032AF" w:rsidRPr="00C263CC">
        <w:rPr>
          <w:rFonts w:ascii="Calibri" w:eastAsia="Calibri" w:hAnsi="Calibri" w:cs="Calibri"/>
          <w:sz w:val="24"/>
          <w:szCs w:val="24"/>
        </w:rPr>
        <w:t>el cambio climático sigue siendo una prioridad</w:t>
      </w:r>
      <w:r w:rsidR="00033636">
        <w:rPr>
          <w:rFonts w:ascii="Calibri" w:eastAsia="Calibri" w:hAnsi="Calibri" w:cs="Calibri"/>
          <w:sz w:val="24"/>
          <w:szCs w:val="24"/>
        </w:rPr>
        <w:t xml:space="preserve"> global</w:t>
      </w:r>
      <w:r w:rsidR="00C032AF" w:rsidRPr="00C263CC">
        <w:rPr>
          <w:rFonts w:ascii="Calibri" w:eastAsia="Calibri" w:hAnsi="Calibri" w:cs="Calibri"/>
          <w:sz w:val="24"/>
          <w:szCs w:val="24"/>
        </w:rPr>
        <w:t xml:space="preserve">, </w:t>
      </w:r>
      <w:r>
        <w:rPr>
          <w:rFonts w:ascii="Calibri" w:eastAsia="Calibri" w:hAnsi="Calibri" w:cs="Calibri"/>
          <w:sz w:val="24"/>
          <w:szCs w:val="24"/>
        </w:rPr>
        <w:t>pero c</w:t>
      </w:r>
      <w:r w:rsidR="00C032AF" w:rsidRPr="00C263CC">
        <w:rPr>
          <w:rFonts w:ascii="Calibri" w:eastAsia="Calibri" w:hAnsi="Calibri" w:cs="Calibri"/>
          <w:sz w:val="24"/>
          <w:szCs w:val="24"/>
        </w:rPr>
        <w:t>ada vez compite más con preocupaciones más inmediatas, como la incertidumbre económica y el costo de vida.</w:t>
      </w:r>
      <w:r w:rsidR="00033636">
        <w:rPr>
          <w:rFonts w:ascii="Calibri" w:eastAsia="Calibri" w:hAnsi="Calibri" w:cs="Calibri"/>
          <w:sz w:val="24"/>
          <w:szCs w:val="24"/>
        </w:rPr>
        <w:t xml:space="preserve"> </w:t>
      </w:r>
      <w:r w:rsidR="00B67B0C">
        <w:rPr>
          <w:rFonts w:ascii="Calibri" w:eastAsia="Calibri" w:hAnsi="Calibri" w:cs="Calibri"/>
          <w:b/>
          <w:bCs/>
          <w:sz w:val="24"/>
          <w:szCs w:val="24"/>
        </w:rPr>
        <w:t>Argentina</w:t>
      </w:r>
      <w:r w:rsidR="00033636" w:rsidRPr="00033636">
        <w:rPr>
          <w:rFonts w:ascii="Calibri" w:eastAsia="Calibri" w:hAnsi="Calibri" w:cs="Calibri"/>
          <w:b/>
          <w:bCs/>
          <w:sz w:val="24"/>
          <w:szCs w:val="24"/>
        </w:rPr>
        <w:t xml:space="preserve"> ilustra bien </w:t>
      </w:r>
      <w:r>
        <w:rPr>
          <w:rFonts w:ascii="Calibri" w:eastAsia="Calibri" w:hAnsi="Calibri" w:cs="Calibri"/>
          <w:b/>
          <w:bCs/>
          <w:sz w:val="24"/>
          <w:szCs w:val="24"/>
        </w:rPr>
        <w:t>este punto:</w:t>
      </w:r>
      <w:r w:rsidR="00033636" w:rsidRPr="00033636">
        <w:rPr>
          <w:rFonts w:ascii="Calibri" w:eastAsia="Calibri" w:hAnsi="Calibri" w:cs="Calibri"/>
          <w:b/>
          <w:bCs/>
          <w:sz w:val="24"/>
          <w:szCs w:val="24"/>
        </w:rPr>
        <w:t xml:space="preserve"> la preocupación sigue siendo elevada, </w:t>
      </w:r>
      <w:r>
        <w:rPr>
          <w:rFonts w:ascii="Calibri" w:eastAsia="Calibri" w:hAnsi="Calibri" w:cs="Calibri"/>
          <w:b/>
          <w:bCs/>
          <w:sz w:val="24"/>
          <w:szCs w:val="24"/>
        </w:rPr>
        <w:t>pero se observa una</w:t>
      </w:r>
      <w:r w:rsidR="00033636" w:rsidRPr="00033636">
        <w:rPr>
          <w:rFonts w:ascii="Calibri" w:eastAsia="Calibri" w:hAnsi="Calibri" w:cs="Calibri"/>
          <w:b/>
          <w:bCs/>
          <w:sz w:val="24"/>
          <w:szCs w:val="24"/>
        </w:rPr>
        <w:t xml:space="preserve"> disminución sostenida en el nivel de acuerdo</w:t>
      </w:r>
      <w:r w:rsidR="00481559">
        <w:rPr>
          <w:rFonts w:ascii="Calibri" w:eastAsia="Calibri" w:hAnsi="Calibri" w:cs="Calibri"/>
          <w:b/>
          <w:bCs/>
          <w:sz w:val="24"/>
          <w:szCs w:val="24"/>
        </w:rPr>
        <w:t xml:space="preserve"> con que el calentamiento global es una amenaza seria para la humanidad</w:t>
      </w:r>
      <w:r w:rsidR="00033636" w:rsidRPr="00033636">
        <w:rPr>
          <w:rFonts w:ascii="Calibri" w:eastAsia="Calibri" w:hAnsi="Calibri" w:cs="Calibri"/>
          <w:b/>
          <w:bCs/>
          <w:sz w:val="24"/>
          <w:szCs w:val="24"/>
        </w:rPr>
        <w:t>, que pasó del 90% en 2021 al 84% en 2026.</w:t>
      </w:r>
    </w:p>
    <w:p w14:paraId="6D38D943" w14:textId="77777777" w:rsidR="00051225" w:rsidRPr="00051225" w:rsidRDefault="00051225" w:rsidP="00C263CC">
      <w:pPr>
        <w:jc w:val="both"/>
        <w:rPr>
          <w:rFonts w:ascii="Calibri" w:eastAsia="Calibri" w:hAnsi="Calibri" w:cs="Calibri"/>
          <w:b/>
          <w:bCs/>
          <w:sz w:val="24"/>
          <w:szCs w:val="24"/>
        </w:rPr>
      </w:pPr>
    </w:p>
    <w:p w14:paraId="7ED223AF" w14:textId="18A2ED19" w:rsidR="00C032AF" w:rsidRPr="006752A5" w:rsidRDefault="0079606D" w:rsidP="00C263CC">
      <w:pPr>
        <w:jc w:val="both"/>
        <w:rPr>
          <w:rFonts w:ascii="Calibri" w:eastAsia="Calibri" w:hAnsi="Calibri" w:cs="Calibri"/>
          <w:b/>
          <w:bCs/>
          <w:color w:val="388600"/>
          <w:sz w:val="24"/>
          <w:szCs w:val="24"/>
        </w:rPr>
      </w:pPr>
      <w:r w:rsidRPr="0079606D">
        <w:rPr>
          <w:rFonts w:ascii="Calibri" w:eastAsia="Calibri" w:hAnsi="Calibri" w:cs="Calibri"/>
          <w:b/>
          <w:bCs/>
          <w:color w:val="388600"/>
          <w:sz w:val="24"/>
          <w:szCs w:val="24"/>
        </w:rPr>
        <w:t>La opinión pública global no está dominada por el pesimismo</w:t>
      </w:r>
      <w:r>
        <w:rPr>
          <w:rFonts w:ascii="Calibri" w:eastAsia="Calibri" w:hAnsi="Calibri" w:cs="Calibri"/>
          <w:b/>
          <w:bCs/>
          <w:color w:val="388600"/>
          <w:sz w:val="24"/>
          <w:szCs w:val="24"/>
        </w:rPr>
        <w:t xml:space="preserve">: </w:t>
      </w:r>
      <w:r w:rsidR="00C032AF" w:rsidRPr="006752A5">
        <w:rPr>
          <w:rFonts w:ascii="Calibri" w:eastAsia="Calibri" w:hAnsi="Calibri" w:cs="Calibri"/>
          <w:b/>
          <w:bCs/>
          <w:color w:val="388600"/>
          <w:sz w:val="24"/>
          <w:szCs w:val="24"/>
        </w:rPr>
        <w:t>la mayoría mantiene que “no es demasiado tarde”</w:t>
      </w:r>
      <w:r w:rsidR="00C13A1F">
        <w:rPr>
          <w:rFonts w:ascii="Calibri" w:eastAsia="Calibri" w:hAnsi="Calibri" w:cs="Calibri"/>
          <w:b/>
          <w:bCs/>
          <w:color w:val="388600"/>
          <w:sz w:val="24"/>
          <w:szCs w:val="24"/>
        </w:rPr>
        <w:t xml:space="preserve"> </w:t>
      </w:r>
      <w:r>
        <w:rPr>
          <w:rFonts w:ascii="Calibri" w:eastAsia="Calibri" w:hAnsi="Calibri" w:cs="Calibri"/>
          <w:b/>
          <w:bCs/>
          <w:color w:val="388600"/>
          <w:sz w:val="24"/>
          <w:szCs w:val="24"/>
        </w:rPr>
        <w:t xml:space="preserve">para frenar el cambio climático </w:t>
      </w:r>
    </w:p>
    <w:p w14:paraId="6332B328" w14:textId="05704354" w:rsidR="0079606D" w:rsidRDefault="0079606D" w:rsidP="00C263CC">
      <w:pPr>
        <w:jc w:val="both"/>
        <w:rPr>
          <w:rFonts w:ascii="Calibri" w:eastAsia="Calibri" w:hAnsi="Calibri" w:cs="Calibri"/>
          <w:b/>
          <w:bCs/>
          <w:sz w:val="24"/>
          <w:szCs w:val="24"/>
        </w:rPr>
      </w:pPr>
      <w:r w:rsidRPr="0079606D">
        <w:rPr>
          <w:rFonts w:ascii="Calibri" w:eastAsia="Calibri" w:hAnsi="Calibri" w:cs="Calibri"/>
          <w:sz w:val="24"/>
          <w:szCs w:val="24"/>
        </w:rPr>
        <w:t>El equilibrio entre preocupación y optimismo es una característica definitoria de los datos de est</w:t>
      </w:r>
      <w:r w:rsidR="000D5932">
        <w:rPr>
          <w:rFonts w:ascii="Calibri" w:eastAsia="Calibri" w:hAnsi="Calibri" w:cs="Calibri"/>
          <w:sz w:val="24"/>
          <w:szCs w:val="24"/>
        </w:rPr>
        <w:t>a encuesta</w:t>
      </w:r>
      <w:r w:rsidRPr="0079606D">
        <w:rPr>
          <w:rFonts w:ascii="Calibri" w:eastAsia="Calibri" w:hAnsi="Calibri" w:cs="Calibri"/>
          <w:sz w:val="24"/>
          <w:szCs w:val="24"/>
        </w:rPr>
        <w:t>:</w:t>
      </w:r>
      <w:r>
        <w:rPr>
          <w:rFonts w:ascii="Calibri" w:eastAsia="Calibri" w:hAnsi="Calibri" w:cs="Calibri"/>
          <w:b/>
          <w:bCs/>
          <w:sz w:val="24"/>
          <w:szCs w:val="24"/>
        </w:rPr>
        <w:t xml:space="preserve"> </w:t>
      </w:r>
      <w:r w:rsidR="00C13A1F" w:rsidRPr="00C13A1F">
        <w:rPr>
          <w:rFonts w:ascii="Calibri" w:eastAsia="Calibri" w:hAnsi="Calibri" w:cs="Calibri"/>
          <w:b/>
          <w:bCs/>
          <w:sz w:val="24"/>
          <w:szCs w:val="24"/>
        </w:rPr>
        <w:t>un</w:t>
      </w:r>
      <w:r w:rsidR="00C032AF" w:rsidRPr="00C13A1F">
        <w:rPr>
          <w:rFonts w:ascii="Calibri" w:eastAsia="Calibri" w:hAnsi="Calibri" w:cs="Calibri"/>
          <w:b/>
          <w:bCs/>
          <w:sz w:val="24"/>
          <w:szCs w:val="24"/>
        </w:rPr>
        <w:t xml:space="preserve"> </w:t>
      </w:r>
      <w:r w:rsidR="00C032AF" w:rsidRPr="006752A5">
        <w:rPr>
          <w:rFonts w:ascii="Calibri" w:eastAsia="Calibri" w:hAnsi="Calibri" w:cs="Calibri"/>
          <w:b/>
          <w:bCs/>
          <w:sz w:val="24"/>
          <w:szCs w:val="24"/>
        </w:rPr>
        <w:t xml:space="preserve">42% </w:t>
      </w:r>
      <w:r w:rsidR="000D5932">
        <w:rPr>
          <w:rFonts w:ascii="Calibri" w:eastAsia="Calibri" w:hAnsi="Calibri" w:cs="Calibri"/>
          <w:b/>
          <w:bCs/>
          <w:sz w:val="24"/>
          <w:szCs w:val="24"/>
        </w:rPr>
        <w:t xml:space="preserve">a nivel global </w:t>
      </w:r>
      <w:r w:rsidR="00C032AF" w:rsidRPr="006752A5">
        <w:rPr>
          <w:rFonts w:ascii="Calibri" w:eastAsia="Calibri" w:hAnsi="Calibri" w:cs="Calibri"/>
          <w:b/>
          <w:bCs/>
          <w:sz w:val="24"/>
          <w:szCs w:val="24"/>
        </w:rPr>
        <w:t xml:space="preserve">considera que “ya es demasiado tarde” para frenar el cambio climático, mientras </w:t>
      </w:r>
      <w:r w:rsidR="00292900">
        <w:rPr>
          <w:rFonts w:ascii="Calibri" w:eastAsia="Calibri" w:hAnsi="Calibri" w:cs="Calibri"/>
          <w:b/>
          <w:bCs/>
          <w:sz w:val="24"/>
          <w:szCs w:val="24"/>
        </w:rPr>
        <w:t>que un 51%</w:t>
      </w:r>
      <w:r w:rsidR="00C032AF" w:rsidRPr="006752A5">
        <w:rPr>
          <w:rFonts w:ascii="Calibri" w:eastAsia="Calibri" w:hAnsi="Calibri" w:cs="Calibri"/>
          <w:b/>
          <w:bCs/>
          <w:sz w:val="24"/>
          <w:szCs w:val="24"/>
        </w:rPr>
        <w:t xml:space="preserve"> todavía cree que las acciones pueden marcar una diferencia.</w:t>
      </w:r>
    </w:p>
    <w:p w14:paraId="79EE57B9" w14:textId="2D670080" w:rsidR="001747F3" w:rsidRPr="003614A2" w:rsidRDefault="00C722D1" w:rsidP="00C263CC">
      <w:pPr>
        <w:jc w:val="both"/>
        <w:rPr>
          <w:rFonts w:ascii="Calibri" w:eastAsia="Calibri" w:hAnsi="Calibri" w:cs="Calibri"/>
          <w:b/>
          <w:bCs/>
          <w:sz w:val="24"/>
          <w:szCs w:val="24"/>
        </w:rPr>
      </w:pPr>
      <w:r w:rsidRPr="00C722D1">
        <w:rPr>
          <w:rFonts w:ascii="Calibri" w:eastAsia="Calibri" w:hAnsi="Calibri" w:cs="Calibri"/>
          <w:b/>
          <w:bCs/>
          <w:sz w:val="24"/>
          <w:szCs w:val="24"/>
        </w:rPr>
        <w:t>En Argentina</w:t>
      </w:r>
      <w:r w:rsidRPr="001747F3">
        <w:rPr>
          <w:rFonts w:ascii="Calibri" w:eastAsia="Calibri" w:hAnsi="Calibri" w:cs="Calibri"/>
          <w:b/>
          <w:bCs/>
          <w:sz w:val="24"/>
          <w:szCs w:val="24"/>
        </w:rPr>
        <w:t xml:space="preserve">, </w:t>
      </w:r>
      <w:r w:rsidR="00784E99" w:rsidRPr="001747F3">
        <w:rPr>
          <w:rFonts w:ascii="Calibri" w:eastAsia="Calibri" w:hAnsi="Calibri" w:cs="Calibri"/>
          <w:b/>
          <w:bCs/>
          <w:sz w:val="24"/>
          <w:szCs w:val="24"/>
        </w:rPr>
        <w:t xml:space="preserve">las opiniones se encuentran </w:t>
      </w:r>
      <w:r w:rsidR="00742241">
        <w:rPr>
          <w:rFonts w:ascii="Calibri" w:eastAsia="Calibri" w:hAnsi="Calibri" w:cs="Calibri"/>
          <w:b/>
          <w:bCs/>
          <w:sz w:val="24"/>
          <w:szCs w:val="24"/>
        </w:rPr>
        <w:t>algo</w:t>
      </w:r>
      <w:r w:rsidR="0079606D">
        <w:rPr>
          <w:rFonts w:ascii="Calibri" w:eastAsia="Calibri" w:hAnsi="Calibri" w:cs="Calibri"/>
          <w:b/>
          <w:bCs/>
          <w:sz w:val="24"/>
          <w:szCs w:val="24"/>
        </w:rPr>
        <w:t xml:space="preserve"> </w:t>
      </w:r>
      <w:r w:rsidR="00784E99" w:rsidRPr="001747F3">
        <w:rPr>
          <w:rFonts w:ascii="Calibri" w:eastAsia="Calibri" w:hAnsi="Calibri" w:cs="Calibri"/>
          <w:b/>
          <w:bCs/>
          <w:sz w:val="24"/>
          <w:szCs w:val="24"/>
        </w:rPr>
        <w:t>más divididas</w:t>
      </w:r>
      <w:r w:rsidR="00481559">
        <w:rPr>
          <w:rFonts w:ascii="Calibri" w:eastAsia="Calibri" w:hAnsi="Calibri" w:cs="Calibri"/>
          <w:b/>
          <w:bCs/>
          <w:sz w:val="24"/>
          <w:szCs w:val="24"/>
        </w:rPr>
        <w:t xml:space="preserve"> y son más negativas</w:t>
      </w:r>
      <w:r w:rsidR="00784E99" w:rsidRPr="001747F3">
        <w:rPr>
          <w:rFonts w:ascii="Calibri" w:eastAsia="Calibri" w:hAnsi="Calibri" w:cs="Calibri"/>
          <w:b/>
          <w:bCs/>
          <w:sz w:val="24"/>
          <w:szCs w:val="24"/>
        </w:rPr>
        <w:t>: un 48% cree que ya es demasiado tarde, mientras que un 44% es optimista.</w:t>
      </w:r>
      <w:r w:rsidR="00784E99">
        <w:rPr>
          <w:rFonts w:ascii="Calibri" w:eastAsia="Calibri" w:hAnsi="Calibri" w:cs="Calibri"/>
          <w:sz w:val="24"/>
          <w:szCs w:val="24"/>
        </w:rPr>
        <w:t xml:space="preserve"> </w:t>
      </w:r>
      <w:r w:rsidR="00481559">
        <w:rPr>
          <w:rFonts w:ascii="Calibri" w:eastAsia="Calibri" w:hAnsi="Calibri" w:cs="Calibri"/>
          <w:sz w:val="24"/>
          <w:szCs w:val="24"/>
        </w:rPr>
        <w:t xml:space="preserve">Es interesante resaltar </w:t>
      </w:r>
      <w:r w:rsidR="009F2061">
        <w:rPr>
          <w:rFonts w:ascii="Calibri" w:eastAsia="Calibri" w:hAnsi="Calibri" w:cs="Calibri"/>
          <w:sz w:val="24"/>
          <w:szCs w:val="24"/>
        </w:rPr>
        <w:t>que el</w:t>
      </w:r>
      <w:r w:rsidR="0079606D">
        <w:rPr>
          <w:rFonts w:ascii="Calibri" w:eastAsia="Calibri" w:hAnsi="Calibri" w:cs="Calibri"/>
          <w:sz w:val="24"/>
          <w:szCs w:val="24"/>
        </w:rPr>
        <w:t xml:space="preserve"> pesimismo de los argentinos viene creciendo:</w:t>
      </w:r>
      <w:r w:rsidR="00784E99">
        <w:rPr>
          <w:rFonts w:ascii="Calibri" w:eastAsia="Calibri" w:hAnsi="Calibri" w:cs="Calibri"/>
          <w:sz w:val="24"/>
          <w:szCs w:val="24"/>
        </w:rPr>
        <w:t xml:space="preserve"> </w:t>
      </w:r>
      <w:r w:rsidR="0079606D" w:rsidRPr="0079606D">
        <w:rPr>
          <w:rFonts w:ascii="Calibri" w:eastAsia="Calibri" w:hAnsi="Calibri" w:cs="Calibri"/>
          <w:b/>
          <w:bCs/>
          <w:sz w:val="24"/>
          <w:szCs w:val="24"/>
        </w:rPr>
        <w:t>u</w:t>
      </w:r>
      <w:r w:rsidR="00784E99" w:rsidRPr="0079606D">
        <w:rPr>
          <w:rFonts w:ascii="Calibri" w:eastAsia="Calibri" w:hAnsi="Calibri" w:cs="Calibri"/>
          <w:b/>
          <w:bCs/>
          <w:sz w:val="24"/>
          <w:szCs w:val="24"/>
        </w:rPr>
        <w:t>n</w:t>
      </w:r>
      <w:r w:rsidR="00784E99">
        <w:rPr>
          <w:rFonts w:ascii="Calibri" w:eastAsia="Calibri" w:hAnsi="Calibri" w:cs="Calibri"/>
          <w:sz w:val="24"/>
          <w:szCs w:val="24"/>
        </w:rPr>
        <w:t xml:space="preserve"> </w:t>
      </w:r>
      <w:r w:rsidRPr="00C722D1">
        <w:rPr>
          <w:rFonts w:ascii="Calibri" w:eastAsia="Calibri" w:hAnsi="Calibri" w:cs="Calibri"/>
          <w:b/>
          <w:bCs/>
          <w:sz w:val="24"/>
          <w:szCs w:val="24"/>
        </w:rPr>
        <w:t xml:space="preserve">37% en 2020 creía que ya era demasiado tarde para frenar </w:t>
      </w:r>
      <w:r w:rsidR="00904762">
        <w:rPr>
          <w:rFonts w:ascii="Calibri" w:eastAsia="Calibri" w:hAnsi="Calibri" w:cs="Calibri"/>
          <w:b/>
          <w:bCs/>
          <w:sz w:val="24"/>
          <w:szCs w:val="24"/>
        </w:rPr>
        <w:t>este fenómeno</w:t>
      </w:r>
      <w:r w:rsidRPr="00C722D1">
        <w:rPr>
          <w:rFonts w:ascii="Calibri" w:eastAsia="Calibri" w:hAnsi="Calibri" w:cs="Calibri"/>
          <w:b/>
          <w:bCs/>
          <w:sz w:val="24"/>
          <w:szCs w:val="24"/>
        </w:rPr>
        <w:t xml:space="preserve">, </w:t>
      </w:r>
      <w:r w:rsidR="001747F3">
        <w:rPr>
          <w:rFonts w:ascii="Calibri" w:eastAsia="Calibri" w:hAnsi="Calibri" w:cs="Calibri"/>
          <w:b/>
          <w:bCs/>
          <w:sz w:val="24"/>
          <w:szCs w:val="24"/>
        </w:rPr>
        <w:t>proporción</w:t>
      </w:r>
      <w:r w:rsidRPr="00C722D1">
        <w:rPr>
          <w:rFonts w:ascii="Calibri" w:eastAsia="Calibri" w:hAnsi="Calibri" w:cs="Calibri"/>
          <w:b/>
          <w:bCs/>
          <w:sz w:val="24"/>
          <w:szCs w:val="24"/>
        </w:rPr>
        <w:t xml:space="preserve"> que asciende al 48% </w:t>
      </w:r>
      <w:r w:rsidR="00784E99">
        <w:rPr>
          <w:rFonts w:ascii="Calibri" w:eastAsia="Calibri" w:hAnsi="Calibri" w:cs="Calibri"/>
          <w:b/>
          <w:bCs/>
          <w:sz w:val="24"/>
          <w:szCs w:val="24"/>
        </w:rPr>
        <w:t>en 2026.</w:t>
      </w:r>
      <w:r w:rsidR="00292900" w:rsidRPr="00CD1671">
        <w:rPr>
          <w:rFonts w:ascii="Calibri" w:eastAsia="Calibri" w:hAnsi="Calibri" w:cs="Calibri"/>
          <w:sz w:val="24"/>
          <w:szCs w:val="24"/>
        </w:rPr>
        <w:t xml:space="preserve"> </w:t>
      </w:r>
    </w:p>
    <w:p w14:paraId="4B38C590" w14:textId="77777777" w:rsidR="00202A22" w:rsidRPr="00202A22" w:rsidRDefault="00202A22" w:rsidP="00C263CC">
      <w:pPr>
        <w:jc w:val="both"/>
        <w:rPr>
          <w:rFonts w:ascii="Calibri" w:eastAsia="Calibri" w:hAnsi="Calibri" w:cs="Calibri"/>
          <w:sz w:val="24"/>
          <w:szCs w:val="24"/>
        </w:rPr>
      </w:pPr>
    </w:p>
    <w:p w14:paraId="1EACDE0D" w14:textId="5CDDBCFE" w:rsidR="001747F3" w:rsidRPr="001747F3" w:rsidRDefault="00742241" w:rsidP="00C263CC">
      <w:pPr>
        <w:jc w:val="both"/>
        <w:rPr>
          <w:rFonts w:ascii="Calibri" w:eastAsia="Calibri" w:hAnsi="Calibri" w:cs="Calibri"/>
          <w:b/>
          <w:bCs/>
          <w:color w:val="388600"/>
          <w:sz w:val="24"/>
          <w:szCs w:val="24"/>
        </w:rPr>
      </w:pPr>
      <w:r>
        <w:rPr>
          <w:rFonts w:ascii="Calibri" w:eastAsia="Calibri" w:hAnsi="Calibri" w:cs="Calibri"/>
          <w:b/>
          <w:bCs/>
          <w:color w:val="388600"/>
          <w:sz w:val="24"/>
          <w:szCs w:val="24"/>
        </w:rPr>
        <w:t>Hay cierto optimismo y una fuerte</w:t>
      </w:r>
      <w:r w:rsidR="00C032AF" w:rsidRPr="006752A5">
        <w:rPr>
          <w:rFonts w:ascii="Calibri" w:eastAsia="Calibri" w:hAnsi="Calibri" w:cs="Calibri"/>
          <w:b/>
          <w:bCs/>
          <w:color w:val="388600"/>
          <w:sz w:val="24"/>
          <w:szCs w:val="24"/>
        </w:rPr>
        <w:t xml:space="preserve"> creencia en el impacto </w:t>
      </w:r>
      <w:r w:rsidR="00481559">
        <w:rPr>
          <w:rFonts w:ascii="Calibri" w:eastAsia="Calibri" w:hAnsi="Calibri" w:cs="Calibri"/>
          <w:b/>
          <w:bCs/>
          <w:color w:val="388600"/>
          <w:sz w:val="24"/>
          <w:szCs w:val="24"/>
        </w:rPr>
        <w:t>de las acciones individuales</w:t>
      </w:r>
      <w:r w:rsidR="00904762">
        <w:rPr>
          <w:rFonts w:ascii="Calibri" w:eastAsia="Calibri" w:hAnsi="Calibri" w:cs="Calibri"/>
          <w:b/>
          <w:bCs/>
          <w:color w:val="388600"/>
          <w:sz w:val="24"/>
          <w:szCs w:val="24"/>
        </w:rPr>
        <w:t xml:space="preserve">, aunque </w:t>
      </w:r>
      <w:r>
        <w:rPr>
          <w:rFonts w:ascii="Calibri" w:eastAsia="Calibri" w:hAnsi="Calibri" w:cs="Calibri"/>
          <w:b/>
          <w:bCs/>
          <w:color w:val="388600"/>
          <w:sz w:val="24"/>
          <w:szCs w:val="24"/>
        </w:rPr>
        <w:t xml:space="preserve">esta métrica también </w:t>
      </w:r>
      <w:r w:rsidR="00C032AF" w:rsidRPr="006752A5">
        <w:rPr>
          <w:rFonts w:ascii="Calibri" w:eastAsia="Calibri" w:hAnsi="Calibri" w:cs="Calibri"/>
          <w:b/>
          <w:bCs/>
          <w:color w:val="388600"/>
          <w:sz w:val="24"/>
          <w:szCs w:val="24"/>
        </w:rPr>
        <w:t>comienza a debilitarse</w:t>
      </w:r>
    </w:p>
    <w:p w14:paraId="52DA8EA6" w14:textId="36DEFC4D" w:rsidR="00C032AF" w:rsidRPr="00051225" w:rsidRDefault="00C032AF" w:rsidP="00C263CC">
      <w:pPr>
        <w:jc w:val="both"/>
        <w:rPr>
          <w:rFonts w:ascii="Calibri" w:eastAsia="Calibri" w:hAnsi="Calibri" w:cs="Calibri"/>
          <w:sz w:val="24"/>
          <w:szCs w:val="24"/>
        </w:rPr>
      </w:pPr>
      <w:r w:rsidRPr="002F37D0">
        <w:rPr>
          <w:rFonts w:ascii="Calibri" w:eastAsia="Calibri" w:hAnsi="Calibri" w:cs="Calibri"/>
          <w:b/>
          <w:bCs/>
          <w:sz w:val="24"/>
          <w:szCs w:val="24"/>
        </w:rPr>
        <w:t xml:space="preserve">77% de las personas </w:t>
      </w:r>
      <w:r w:rsidR="002F37D0" w:rsidRPr="002F37D0">
        <w:rPr>
          <w:rFonts w:ascii="Calibri" w:eastAsia="Calibri" w:hAnsi="Calibri" w:cs="Calibri"/>
          <w:b/>
          <w:bCs/>
          <w:sz w:val="24"/>
          <w:szCs w:val="24"/>
        </w:rPr>
        <w:t xml:space="preserve">a nivel global </w:t>
      </w:r>
      <w:r w:rsidRPr="002F37D0">
        <w:rPr>
          <w:rFonts w:ascii="Calibri" w:eastAsia="Calibri" w:hAnsi="Calibri" w:cs="Calibri"/>
          <w:b/>
          <w:bCs/>
          <w:sz w:val="24"/>
          <w:szCs w:val="24"/>
        </w:rPr>
        <w:t>cree que sus acciones personales pueden mejorar el medioambiente.</w:t>
      </w:r>
      <w:r w:rsidR="002F37D0">
        <w:rPr>
          <w:rFonts w:ascii="Calibri" w:eastAsia="Calibri" w:hAnsi="Calibri" w:cs="Calibri"/>
          <w:sz w:val="24"/>
          <w:szCs w:val="24"/>
        </w:rPr>
        <w:t xml:space="preserve"> </w:t>
      </w:r>
      <w:r w:rsidRPr="00C263CC">
        <w:rPr>
          <w:rFonts w:ascii="Calibri" w:eastAsia="Calibri" w:hAnsi="Calibri" w:cs="Calibri"/>
          <w:sz w:val="24"/>
          <w:szCs w:val="24"/>
        </w:rPr>
        <w:t xml:space="preserve">Esta creencia se mantiene en todos los países y grupos demográficos, aunque es ligeramente más fuerte entre las mujeres. </w:t>
      </w:r>
      <w:r w:rsidR="00742241">
        <w:rPr>
          <w:rFonts w:ascii="Calibri" w:eastAsia="Calibri" w:hAnsi="Calibri" w:cs="Calibri"/>
          <w:b/>
          <w:bCs/>
          <w:sz w:val="24"/>
          <w:szCs w:val="24"/>
        </w:rPr>
        <w:t>No obstante,</w:t>
      </w:r>
      <w:r w:rsidR="002F37D0" w:rsidRPr="002F37D0">
        <w:rPr>
          <w:rFonts w:ascii="Calibri" w:eastAsia="Calibri" w:hAnsi="Calibri" w:cs="Calibri"/>
          <w:b/>
          <w:bCs/>
          <w:sz w:val="24"/>
          <w:szCs w:val="24"/>
        </w:rPr>
        <w:t xml:space="preserve"> l</w:t>
      </w:r>
      <w:r w:rsidRPr="002F37D0">
        <w:rPr>
          <w:rFonts w:ascii="Calibri" w:eastAsia="Calibri" w:hAnsi="Calibri" w:cs="Calibri"/>
          <w:b/>
          <w:bCs/>
          <w:sz w:val="24"/>
          <w:szCs w:val="24"/>
        </w:rPr>
        <w:t>os datos muestran una caída del 7</w:t>
      </w:r>
      <w:r w:rsidRPr="00051225">
        <w:rPr>
          <w:rFonts w:ascii="Calibri" w:eastAsia="Calibri" w:hAnsi="Calibri" w:cs="Calibri"/>
          <w:b/>
          <w:bCs/>
          <w:sz w:val="24"/>
          <w:szCs w:val="24"/>
        </w:rPr>
        <w:t xml:space="preserve">% en comparación con </w:t>
      </w:r>
      <w:r w:rsidR="002F37D0" w:rsidRPr="00051225">
        <w:rPr>
          <w:rFonts w:ascii="Calibri" w:eastAsia="Calibri" w:hAnsi="Calibri" w:cs="Calibri"/>
          <w:b/>
          <w:bCs/>
          <w:sz w:val="24"/>
          <w:szCs w:val="24"/>
        </w:rPr>
        <w:t>2025</w:t>
      </w:r>
      <w:r w:rsidRPr="00051225">
        <w:rPr>
          <w:rFonts w:ascii="Calibri" w:eastAsia="Calibri" w:hAnsi="Calibri" w:cs="Calibri"/>
          <w:b/>
          <w:bCs/>
          <w:sz w:val="24"/>
          <w:szCs w:val="24"/>
        </w:rPr>
        <w:t>,</w:t>
      </w:r>
      <w:r w:rsidRPr="00051225">
        <w:rPr>
          <w:rFonts w:ascii="Calibri" w:eastAsia="Calibri" w:hAnsi="Calibri" w:cs="Calibri"/>
          <w:sz w:val="24"/>
          <w:szCs w:val="24"/>
        </w:rPr>
        <w:t xml:space="preserve"> lo que apunta a una erosión gradual de la confianza </w:t>
      </w:r>
      <w:r w:rsidR="001747F3" w:rsidRPr="00051225">
        <w:rPr>
          <w:rFonts w:ascii="Calibri" w:eastAsia="Calibri" w:hAnsi="Calibri" w:cs="Calibri"/>
          <w:sz w:val="24"/>
          <w:szCs w:val="24"/>
        </w:rPr>
        <w:t xml:space="preserve">general en el propio accionar. </w:t>
      </w:r>
    </w:p>
    <w:p w14:paraId="55A7A2F8" w14:textId="2F24BC75" w:rsidR="004A7C1F" w:rsidRPr="00481559" w:rsidRDefault="00202A22" w:rsidP="00EF647D">
      <w:pPr>
        <w:jc w:val="both"/>
        <w:rPr>
          <w:rFonts w:ascii="Calibri" w:eastAsia="Calibri" w:hAnsi="Calibri" w:cs="Calibri"/>
          <w:sz w:val="24"/>
          <w:szCs w:val="24"/>
        </w:rPr>
      </w:pPr>
      <w:r w:rsidRPr="00202A22">
        <w:rPr>
          <w:rFonts w:ascii="Calibri" w:eastAsia="Calibri" w:hAnsi="Calibri" w:cs="Calibri"/>
          <w:b/>
          <w:bCs/>
          <w:sz w:val="24"/>
          <w:szCs w:val="24"/>
        </w:rPr>
        <w:t>En América Latina</w:t>
      </w:r>
      <w:r w:rsidRPr="00202A22">
        <w:rPr>
          <w:rFonts w:ascii="Calibri" w:eastAsia="Calibri" w:hAnsi="Calibri" w:cs="Calibri"/>
          <w:sz w:val="24"/>
          <w:szCs w:val="24"/>
        </w:rPr>
        <w:t xml:space="preserve">, </w:t>
      </w:r>
      <w:r w:rsidR="00D56E7F" w:rsidRPr="00C263CC">
        <w:rPr>
          <w:rFonts w:ascii="Calibri" w:eastAsia="Calibri" w:hAnsi="Calibri" w:cs="Calibri"/>
          <w:sz w:val="24"/>
          <w:szCs w:val="24"/>
        </w:rPr>
        <w:t>las personas expresan un fuerte sentido de capacidad de acción frente a los desafíos ambientales</w:t>
      </w:r>
      <w:r w:rsidRPr="00202A22">
        <w:rPr>
          <w:rFonts w:ascii="Calibri" w:eastAsia="Calibri" w:hAnsi="Calibri" w:cs="Calibri"/>
          <w:sz w:val="24"/>
          <w:szCs w:val="24"/>
        </w:rPr>
        <w:t xml:space="preserve">, ya que </w:t>
      </w:r>
      <w:r w:rsidRPr="00202A22">
        <w:rPr>
          <w:rFonts w:ascii="Calibri" w:eastAsia="Calibri" w:hAnsi="Calibri" w:cs="Calibri"/>
          <w:b/>
          <w:bCs/>
          <w:sz w:val="24"/>
          <w:szCs w:val="24"/>
        </w:rPr>
        <w:t xml:space="preserve">en todos los casos al menos </w:t>
      </w:r>
      <w:r>
        <w:rPr>
          <w:rFonts w:ascii="Calibri" w:eastAsia="Calibri" w:hAnsi="Calibri" w:cs="Calibri"/>
          <w:b/>
          <w:bCs/>
          <w:sz w:val="24"/>
          <w:szCs w:val="24"/>
        </w:rPr>
        <w:t>8 de cada 10 encuestados</w:t>
      </w:r>
      <w:r w:rsidRPr="00202A22">
        <w:rPr>
          <w:rFonts w:ascii="Calibri" w:eastAsia="Calibri" w:hAnsi="Calibri" w:cs="Calibri"/>
          <w:b/>
          <w:bCs/>
          <w:sz w:val="24"/>
          <w:szCs w:val="24"/>
        </w:rPr>
        <w:t xml:space="preserve"> considera que sus acciones personales pueden mejorar el </w:t>
      </w:r>
      <w:r w:rsidRPr="00202A22">
        <w:rPr>
          <w:rFonts w:ascii="Calibri" w:eastAsia="Calibri" w:hAnsi="Calibri" w:cs="Calibri"/>
          <w:b/>
          <w:bCs/>
          <w:sz w:val="24"/>
          <w:szCs w:val="24"/>
        </w:rPr>
        <w:lastRenderedPageBreak/>
        <w:t>medioambiente.</w:t>
      </w:r>
      <w:r w:rsidRPr="00202A22">
        <w:rPr>
          <w:rFonts w:ascii="Calibri" w:eastAsia="Calibri" w:hAnsi="Calibri" w:cs="Calibri"/>
          <w:sz w:val="24"/>
          <w:szCs w:val="24"/>
        </w:rPr>
        <w:t xml:space="preserve"> </w:t>
      </w:r>
      <w:r w:rsidR="00051225" w:rsidRPr="002671F7">
        <w:rPr>
          <w:rFonts w:ascii="Calibri" w:eastAsia="Calibri" w:hAnsi="Calibri" w:cs="Calibri"/>
          <w:sz w:val="24"/>
          <w:szCs w:val="24"/>
        </w:rPr>
        <w:t xml:space="preserve">En particular, </w:t>
      </w:r>
      <w:r w:rsidR="00051225" w:rsidRPr="002671F7">
        <w:rPr>
          <w:rFonts w:ascii="Calibri" w:eastAsia="Calibri" w:hAnsi="Calibri" w:cs="Calibri"/>
          <w:b/>
          <w:bCs/>
          <w:sz w:val="24"/>
          <w:szCs w:val="24"/>
        </w:rPr>
        <w:t xml:space="preserve">en Argentina </w:t>
      </w:r>
      <w:r w:rsidR="00051225" w:rsidRPr="00051225">
        <w:rPr>
          <w:rFonts w:ascii="Calibri" w:eastAsia="Calibri" w:hAnsi="Calibri" w:cs="Calibri"/>
          <w:sz w:val="24"/>
          <w:szCs w:val="24"/>
        </w:rPr>
        <w:t>esta percepción supera el promedio global y</w:t>
      </w:r>
      <w:r w:rsidR="00051225" w:rsidRPr="002671F7">
        <w:rPr>
          <w:rFonts w:ascii="Calibri" w:eastAsia="Calibri" w:hAnsi="Calibri" w:cs="Calibri"/>
          <w:b/>
          <w:bCs/>
          <w:sz w:val="24"/>
          <w:szCs w:val="24"/>
        </w:rPr>
        <w:t xml:space="preserve"> alcanza el 84%</w:t>
      </w:r>
      <w:r w:rsidR="00026AD8">
        <w:rPr>
          <w:rFonts w:ascii="Calibri" w:eastAsia="Calibri" w:hAnsi="Calibri" w:cs="Calibri"/>
          <w:b/>
          <w:bCs/>
          <w:sz w:val="24"/>
          <w:szCs w:val="24"/>
        </w:rPr>
        <w:t>.</w:t>
      </w:r>
    </w:p>
    <w:p w14:paraId="2787BB80" w14:textId="77777777" w:rsidR="004A7C1F" w:rsidRDefault="004A7C1F" w:rsidP="00EF647D">
      <w:pPr>
        <w:jc w:val="both"/>
        <w:rPr>
          <w:rFonts w:ascii="Calibri" w:eastAsia="Calibri" w:hAnsi="Calibri" w:cs="Calibri"/>
          <w:b/>
          <w:bCs/>
          <w:color w:val="388600"/>
          <w:sz w:val="24"/>
          <w:szCs w:val="24"/>
        </w:rPr>
      </w:pPr>
    </w:p>
    <w:p w14:paraId="0D6FC84A" w14:textId="1D2ECD53" w:rsidR="004A1D13" w:rsidRDefault="004A1D13" w:rsidP="00EF647D">
      <w:pPr>
        <w:jc w:val="both"/>
        <w:rPr>
          <w:rFonts w:ascii="Calibri" w:eastAsia="Calibri" w:hAnsi="Calibri" w:cs="Calibri"/>
          <w:b/>
          <w:bCs/>
          <w:color w:val="388600"/>
          <w:sz w:val="24"/>
          <w:szCs w:val="24"/>
        </w:rPr>
      </w:pPr>
      <w:r w:rsidRPr="004A1D13">
        <w:rPr>
          <w:rFonts w:ascii="Calibri" w:eastAsia="Calibri" w:hAnsi="Calibri" w:cs="Calibri"/>
          <w:b/>
          <w:bCs/>
          <w:color w:val="388600"/>
          <w:sz w:val="24"/>
          <w:szCs w:val="24"/>
        </w:rPr>
        <w:t>La responsabilidad se atribuye principalmente a gobiernos y empresas, pese a la creciente desconfianza</w:t>
      </w:r>
      <w:r>
        <w:rPr>
          <w:rFonts w:ascii="Calibri" w:eastAsia="Calibri" w:hAnsi="Calibri" w:cs="Calibri"/>
          <w:b/>
          <w:bCs/>
          <w:color w:val="388600"/>
          <w:sz w:val="24"/>
          <w:szCs w:val="24"/>
        </w:rPr>
        <w:t xml:space="preserve"> en el accionar estatal </w:t>
      </w:r>
    </w:p>
    <w:p w14:paraId="783A6F8F" w14:textId="70E0AEED" w:rsidR="00B67B0C" w:rsidRPr="00051225" w:rsidRDefault="00EF647D" w:rsidP="00AA33D5">
      <w:pPr>
        <w:jc w:val="both"/>
        <w:rPr>
          <w:rFonts w:ascii="Calibri" w:eastAsia="Calibri" w:hAnsi="Calibri" w:cs="Calibri"/>
          <w:sz w:val="24"/>
          <w:szCs w:val="24"/>
        </w:rPr>
      </w:pPr>
      <w:r w:rsidRPr="004A1D13">
        <w:rPr>
          <w:rFonts w:ascii="Calibri" w:eastAsia="Calibri" w:hAnsi="Calibri" w:cs="Calibri"/>
          <w:sz w:val="24"/>
          <w:szCs w:val="24"/>
        </w:rPr>
        <w:t>Existe una percepción global consistente de que</w:t>
      </w:r>
      <w:r w:rsidRPr="00EF647D">
        <w:rPr>
          <w:rFonts w:ascii="Calibri" w:eastAsia="Calibri" w:hAnsi="Calibri" w:cs="Calibri"/>
          <w:b/>
          <w:bCs/>
          <w:sz w:val="24"/>
          <w:szCs w:val="24"/>
        </w:rPr>
        <w:t xml:space="preserve"> los esfuerzos principales en materia de sustentabilidad y medioambiente deben ser asumidos por las empresas y los gobiernos, más que por los individuos, con un 68% de acuerdo con esta afirmación.</w:t>
      </w:r>
      <w:r w:rsidRPr="00EF647D">
        <w:rPr>
          <w:rFonts w:ascii="Calibri" w:eastAsia="Calibri" w:hAnsi="Calibri" w:cs="Calibri"/>
          <w:sz w:val="24"/>
          <w:szCs w:val="24"/>
        </w:rPr>
        <w:t xml:space="preserve"> Esta expectativa se mantiene estable desde 2020 y es especialmente marcada entre los grupos más jóvenes. </w:t>
      </w:r>
    </w:p>
    <w:p w14:paraId="2B87328A" w14:textId="73BBDB64" w:rsidR="00F52646" w:rsidRPr="00D56E7F" w:rsidRDefault="00051225" w:rsidP="00AA33D5">
      <w:pPr>
        <w:jc w:val="both"/>
        <w:rPr>
          <w:rFonts w:ascii="Calibri" w:eastAsia="Calibri" w:hAnsi="Calibri" w:cs="Calibri"/>
          <w:sz w:val="24"/>
          <w:szCs w:val="24"/>
        </w:rPr>
      </w:pPr>
      <w:r>
        <w:rPr>
          <w:rFonts w:ascii="Calibri" w:eastAsia="Calibri" w:hAnsi="Calibri" w:cs="Calibri"/>
          <w:sz w:val="24"/>
          <w:szCs w:val="24"/>
        </w:rPr>
        <w:t>Pese a ello</w:t>
      </w:r>
      <w:r w:rsidR="00EF647D" w:rsidRPr="004A1D13">
        <w:rPr>
          <w:rFonts w:ascii="Calibri" w:eastAsia="Calibri" w:hAnsi="Calibri" w:cs="Calibri"/>
          <w:sz w:val="24"/>
          <w:szCs w:val="24"/>
        </w:rPr>
        <w:t xml:space="preserve">, </w:t>
      </w:r>
      <w:r>
        <w:rPr>
          <w:rFonts w:ascii="Calibri" w:eastAsia="Calibri" w:hAnsi="Calibri" w:cs="Calibri"/>
          <w:sz w:val="24"/>
          <w:szCs w:val="24"/>
        </w:rPr>
        <w:t>no se evalúa positivamente</w:t>
      </w:r>
      <w:r w:rsidR="00EF647D" w:rsidRPr="004A1D13">
        <w:rPr>
          <w:rFonts w:ascii="Calibri" w:eastAsia="Calibri" w:hAnsi="Calibri" w:cs="Calibri"/>
          <w:sz w:val="24"/>
          <w:szCs w:val="24"/>
        </w:rPr>
        <w:t xml:space="preserve"> la gestión gubernamental en</w:t>
      </w:r>
      <w:r w:rsidR="00EF647D" w:rsidRPr="00EF647D">
        <w:rPr>
          <w:rFonts w:ascii="Calibri" w:eastAsia="Calibri" w:hAnsi="Calibri" w:cs="Calibri"/>
          <w:sz w:val="24"/>
          <w:szCs w:val="24"/>
        </w:rPr>
        <w:t xml:space="preserve"> este ámbito: </w:t>
      </w:r>
      <w:r w:rsidR="00EF647D" w:rsidRPr="00EF647D">
        <w:rPr>
          <w:rFonts w:ascii="Calibri" w:eastAsia="Calibri" w:hAnsi="Calibri" w:cs="Calibri"/>
          <w:b/>
          <w:bCs/>
          <w:sz w:val="24"/>
          <w:szCs w:val="24"/>
        </w:rPr>
        <w:t xml:space="preserve">solo el 46% </w:t>
      </w:r>
      <w:r>
        <w:rPr>
          <w:rFonts w:ascii="Calibri" w:eastAsia="Calibri" w:hAnsi="Calibri" w:cs="Calibri"/>
          <w:b/>
          <w:bCs/>
          <w:sz w:val="24"/>
          <w:szCs w:val="24"/>
        </w:rPr>
        <w:t>de la población global c</w:t>
      </w:r>
      <w:r w:rsidR="00EF647D" w:rsidRPr="00EF647D">
        <w:rPr>
          <w:rFonts w:ascii="Calibri" w:eastAsia="Calibri" w:hAnsi="Calibri" w:cs="Calibri"/>
          <w:b/>
          <w:bCs/>
          <w:sz w:val="24"/>
          <w:szCs w:val="24"/>
        </w:rPr>
        <w:t>onsidera que los gobiernos están tomando las medidas necesarias,</w:t>
      </w:r>
      <w:r w:rsidR="00EF647D" w:rsidRPr="004A1D13">
        <w:rPr>
          <w:rFonts w:ascii="Calibri" w:eastAsia="Calibri" w:hAnsi="Calibri" w:cs="Calibri"/>
          <w:sz w:val="24"/>
          <w:szCs w:val="24"/>
        </w:rPr>
        <w:t xml:space="preserve"> lo que representa una caída respecto de 2025</w:t>
      </w:r>
      <w:r w:rsidR="00EF647D" w:rsidRPr="00D56E7F">
        <w:rPr>
          <w:rFonts w:ascii="Calibri" w:eastAsia="Calibri" w:hAnsi="Calibri" w:cs="Calibri"/>
          <w:sz w:val="24"/>
          <w:szCs w:val="24"/>
        </w:rPr>
        <w:t xml:space="preserve">. </w:t>
      </w:r>
      <w:r w:rsidR="00AA33D5" w:rsidRPr="00D56E7F">
        <w:rPr>
          <w:rFonts w:ascii="Calibri" w:eastAsia="Calibri" w:hAnsi="Calibri" w:cs="Calibri"/>
          <w:sz w:val="24"/>
          <w:szCs w:val="24"/>
        </w:rPr>
        <w:t xml:space="preserve">Las </w:t>
      </w:r>
      <w:r w:rsidR="00EF647D" w:rsidRPr="00D56E7F">
        <w:rPr>
          <w:rFonts w:ascii="Calibri" w:eastAsia="Calibri" w:hAnsi="Calibri" w:cs="Calibri"/>
          <w:sz w:val="24"/>
          <w:szCs w:val="24"/>
        </w:rPr>
        <w:t>críticas tienden a aumentar con la edad y el nivel educativo</w:t>
      </w:r>
      <w:r w:rsidR="000D5932" w:rsidRPr="00D56E7F">
        <w:rPr>
          <w:rFonts w:ascii="Calibri" w:eastAsia="Calibri" w:hAnsi="Calibri" w:cs="Calibri"/>
          <w:sz w:val="24"/>
          <w:szCs w:val="24"/>
        </w:rPr>
        <w:t xml:space="preserve">. </w:t>
      </w:r>
    </w:p>
    <w:p w14:paraId="35E3A16D" w14:textId="104F4EDD" w:rsidR="00F52646" w:rsidRPr="00F52646" w:rsidRDefault="00F52646" w:rsidP="00F52646">
      <w:pPr>
        <w:jc w:val="both"/>
        <w:rPr>
          <w:rFonts w:ascii="Calibri" w:eastAsia="Calibri" w:hAnsi="Calibri" w:cs="Calibri"/>
          <w:b/>
          <w:bCs/>
          <w:sz w:val="24"/>
          <w:szCs w:val="24"/>
        </w:rPr>
      </w:pPr>
      <w:r w:rsidRPr="00051225">
        <w:rPr>
          <w:rFonts w:ascii="Calibri" w:eastAsia="Calibri" w:hAnsi="Calibri" w:cs="Calibri"/>
          <w:sz w:val="24"/>
          <w:szCs w:val="24"/>
        </w:rPr>
        <w:t>En APAC</w:t>
      </w:r>
      <w:r w:rsidR="004A1D13" w:rsidRPr="00051225">
        <w:rPr>
          <w:rFonts w:ascii="Calibri" w:eastAsia="Calibri" w:hAnsi="Calibri" w:cs="Calibri"/>
          <w:sz w:val="24"/>
          <w:szCs w:val="24"/>
        </w:rPr>
        <w:t xml:space="preserve"> </w:t>
      </w:r>
      <w:r w:rsidRPr="00051225">
        <w:rPr>
          <w:rFonts w:ascii="Calibri" w:eastAsia="Calibri" w:hAnsi="Calibri" w:cs="Calibri"/>
          <w:sz w:val="24"/>
          <w:szCs w:val="24"/>
        </w:rPr>
        <w:t>la confianza en la acción gubernamental es elevada, especialmente en</w:t>
      </w:r>
      <w:r w:rsidRPr="004A1D13">
        <w:rPr>
          <w:rFonts w:ascii="Calibri" w:eastAsia="Calibri" w:hAnsi="Calibri" w:cs="Calibri"/>
          <w:b/>
          <w:bCs/>
          <w:sz w:val="24"/>
          <w:szCs w:val="24"/>
        </w:rPr>
        <w:t xml:space="preserve"> Vietnam</w:t>
      </w:r>
      <w:r w:rsidRPr="00F52646">
        <w:rPr>
          <w:rFonts w:ascii="Calibri" w:eastAsia="Calibri" w:hAnsi="Calibri" w:cs="Calibri"/>
          <w:sz w:val="24"/>
          <w:szCs w:val="24"/>
        </w:rPr>
        <w:t>,</w:t>
      </w:r>
      <w:r w:rsidRPr="004A1D13">
        <w:rPr>
          <w:rFonts w:ascii="Calibri" w:eastAsia="Calibri" w:hAnsi="Calibri" w:cs="Calibri"/>
          <w:b/>
          <w:bCs/>
          <w:sz w:val="24"/>
          <w:szCs w:val="24"/>
        </w:rPr>
        <w:t xml:space="preserve"> China</w:t>
      </w:r>
      <w:r w:rsidRPr="00F52646">
        <w:rPr>
          <w:rFonts w:ascii="Calibri" w:eastAsia="Calibri" w:hAnsi="Calibri" w:cs="Calibri"/>
          <w:sz w:val="24"/>
          <w:szCs w:val="24"/>
        </w:rPr>
        <w:t xml:space="preserve"> y </w:t>
      </w:r>
      <w:r w:rsidRPr="004A1D13">
        <w:rPr>
          <w:rFonts w:ascii="Calibri" w:eastAsia="Calibri" w:hAnsi="Calibri" w:cs="Calibri"/>
          <w:b/>
          <w:bCs/>
          <w:sz w:val="24"/>
          <w:szCs w:val="24"/>
        </w:rPr>
        <w:t>Tailandia</w:t>
      </w:r>
      <w:r w:rsidRPr="00F52646">
        <w:rPr>
          <w:rFonts w:ascii="Calibri" w:eastAsia="Calibri" w:hAnsi="Calibri" w:cs="Calibri"/>
          <w:sz w:val="24"/>
          <w:szCs w:val="24"/>
        </w:rPr>
        <w:t xml:space="preserve">. En contraste, </w:t>
      </w:r>
      <w:r w:rsidRPr="00051225">
        <w:rPr>
          <w:rFonts w:ascii="Calibri" w:eastAsia="Calibri" w:hAnsi="Calibri" w:cs="Calibri"/>
          <w:sz w:val="24"/>
          <w:szCs w:val="24"/>
        </w:rPr>
        <w:t>los niveles más bajos de confianza se observan en Europa, particularmente</w:t>
      </w:r>
      <w:r w:rsidRPr="00F52646">
        <w:rPr>
          <w:rFonts w:ascii="Calibri" w:eastAsia="Calibri" w:hAnsi="Calibri" w:cs="Calibri"/>
          <w:sz w:val="24"/>
          <w:szCs w:val="24"/>
        </w:rPr>
        <w:t xml:space="preserve"> en </w:t>
      </w:r>
      <w:r w:rsidRPr="004A1D13">
        <w:rPr>
          <w:rFonts w:ascii="Calibri" w:eastAsia="Calibri" w:hAnsi="Calibri" w:cs="Calibri"/>
          <w:b/>
          <w:bCs/>
          <w:sz w:val="24"/>
          <w:szCs w:val="24"/>
        </w:rPr>
        <w:t>Noruega</w:t>
      </w:r>
      <w:r w:rsidRPr="00F52646">
        <w:rPr>
          <w:rFonts w:ascii="Calibri" w:eastAsia="Calibri" w:hAnsi="Calibri" w:cs="Calibri"/>
          <w:sz w:val="24"/>
          <w:szCs w:val="24"/>
        </w:rPr>
        <w:t xml:space="preserve">, </w:t>
      </w:r>
      <w:r w:rsidRPr="004A1D13">
        <w:rPr>
          <w:rFonts w:ascii="Calibri" w:eastAsia="Calibri" w:hAnsi="Calibri" w:cs="Calibri"/>
          <w:b/>
          <w:bCs/>
          <w:sz w:val="24"/>
          <w:szCs w:val="24"/>
        </w:rPr>
        <w:t xml:space="preserve">Finlandia </w:t>
      </w:r>
      <w:r w:rsidRPr="00F52646">
        <w:rPr>
          <w:rFonts w:ascii="Calibri" w:eastAsia="Calibri" w:hAnsi="Calibri" w:cs="Calibri"/>
          <w:sz w:val="24"/>
          <w:szCs w:val="24"/>
        </w:rPr>
        <w:t xml:space="preserve">y </w:t>
      </w:r>
      <w:r w:rsidRPr="004A1D13">
        <w:rPr>
          <w:rFonts w:ascii="Calibri" w:eastAsia="Calibri" w:hAnsi="Calibri" w:cs="Calibri"/>
          <w:b/>
          <w:bCs/>
          <w:sz w:val="24"/>
          <w:szCs w:val="24"/>
        </w:rPr>
        <w:t>Grecia</w:t>
      </w:r>
      <w:r w:rsidRPr="00F52646">
        <w:rPr>
          <w:rFonts w:ascii="Calibri" w:eastAsia="Calibri" w:hAnsi="Calibri" w:cs="Calibri"/>
          <w:sz w:val="24"/>
          <w:szCs w:val="24"/>
        </w:rPr>
        <w:t xml:space="preserve">. </w:t>
      </w:r>
      <w:r w:rsidRPr="00051225">
        <w:rPr>
          <w:rFonts w:ascii="Calibri" w:eastAsia="Calibri" w:hAnsi="Calibri" w:cs="Calibri"/>
          <w:sz w:val="24"/>
          <w:szCs w:val="24"/>
        </w:rPr>
        <w:t>En América Latina también se registra una marcada desconfianza en varios países, especial</w:t>
      </w:r>
      <w:r w:rsidRPr="00F52646">
        <w:rPr>
          <w:rFonts w:ascii="Calibri" w:eastAsia="Calibri" w:hAnsi="Calibri" w:cs="Calibri"/>
          <w:sz w:val="24"/>
          <w:szCs w:val="24"/>
        </w:rPr>
        <w:t xml:space="preserve">mente en </w:t>
      </w:r>
      <w:r w:rsidRPr="004A1D13">
        <w:rPr>
          <w:rFonts w:ascii="Calibri" w:eastAsia="Calibri" w:hAnsi="Calibri" w:cs="Calibri"/>
          <w:b/>
          <w:bCs/>
          <w:sz w:val="24"/>
          <w:szCs w:val="24"/>
        </w:rPr>
        <w:t>Brasil</w:t>
      </w:r>
      <w:r w:rsidRPr="00F52646">
        <w:rPr>
          <w:rFonts w:ascii="Calibri" w:eastAsia="Calibri" w:hAnsi="Calibri" w:cs="Calibri"/>
          <w:sz w:val="24"/>
          <w:szCs w:val="24"/>
        </w:rPr>
        <w:t xml:space="preserve"> (61% en desacuerdo con la frase), </w:t>
      </w:r>
      <w:r w:rsidRPr="004A1D13">
        <w:rPr>
          <w:rFonts w:ascii="Calibri" w:eastAsia="Calibri" w:hAnsi="Calibri" w:cs="Calibri"/>
          <w:b/>
          <w:bCs/>
          <w:sz w:val="24"/>
          <w:szCs w:val="24"/>
        </w:rPr>
        <w:t xml:space="preserve">Venezuela </w:t>
      </w:r>
      <w:r w:rsidRPr="00F52646">
        <w:rPr>
          <w:rFonts w:ascii="Calibri" w:eastAsia="Calibri" w:hAnsi="Calibri" w:cs="Calibri"/>
          <w:sz w:val="24"/>
          <w:szCs w:val="24"/>
        </w:rPr>
        <w:t xml:space="preserve">(60%), </w:t>
      </w:r>
      <w:r w:rsidRPr="004A1D13">
        <w:rPr>
          <w:rFonts w:ascii="Calibri" w:eastAsia="Calibri" w:hAnsi="Calibri" w:cs="Calibri"/>
          <w:b/>
          <w:bCs/>
          <w:sz w:val="24"/>
          <w:szCs w:val="24"/>
        </w:rPr>
        <w:t>Paraguay</w:t>
      </w:r>
      <w:r w:rsidRPr="00F52646">
        <w:rPr>
          <w:rFonts w:ascii="Calibri" w:eastAsia="Calibri" w:hAnsi="Calibri" w:cs="Calibri"/>
          <w:sz w:val="24"/>
          <w:szCs w:val="24"/>
        </w:rPr>
        <w:t xml:space="preserve"> (58%) y </w:t>
      </w:r>
      <w:r w:rsidRPr="004A1D13">
        <w:rPr>
          <w:rFonts w:ascii="Calibri" w:eastAsia="Calibri" w:hAnsi="Calibri" w:cs="Calibri"/>
          <w:b/>
          <w:bCs/>
          <w:sz w:val="24"/>
          <w:szCs w:val="24"/>
        </w:rPr>
        <w:t xml:space="preserve">Argentina </w:t>
      </w:r>
      <w:r w:rsidRPr="00F52646">
        <w:rPr>
          <w:rFonts w:ascii="Calibri" w:eastAsia="Calibri" w:hAnsi="Calibri" w:cs="Calibri"/>
          <w:sz w:val="24"/>
          <w:szCs w:val="24"/>
        </w:rPr>
        <w:t>(53%).</w:t>
      </w:r>
    </w:p>
    <w:p w14:paraId="043328FF" w14:textId="77777777" w:rsidR="00F75117" w:rsidRDefault="00F75117" w:rsidP="00C263CC">
      <w:pPr>
        <w:jc w:val="both"/>
        <w:rPr>
          <w:rFonts w:ascii="Calibri" w:eastAsia="Calibri" w:hAnsi="Calibri" w:cs="Calibri"/>
          <w:sz w:val="24"/>
          <w:szCs w:val="24"/>
        </w:rPr>
      </w:pPr>
    </w:p>
    <w:p w14:paraId="315689B5" w14:textId="095E5D6F" w:rsidR="00C032AF" w:rsidRPr="00506381" w:rsidRDefault="00C032AF" w:rsidP="00C263CC">
      <w:pPr>
        <w:jc w:val="both"/>
        <w:rPr>
          <w:rFonts w:ascii="Calibri" w:eastAsia="Calibri" w:hAnsi="Calibri" w:cs="Calibri"/>
          <w:b/>
          <w:bCs/>
          <w:color w:val="388600"/>
          <w:sz w:val="24"/>
          <w:szCs w:val="24"/>
        </w:rPr>
      </w:pPr>
      <w:r w:rsidRPr="00506381">
        <w:rPr>
          <w:rFonts w:ascii="Calibri" w:eastAsia="Calibri" w:hAnsi="Calibri" w:cs="Calibri"/>
          <w:b/>
          <w:bCs/>
          <w:color w:val="388600"/>
          <w:sz w:val="24"/>
          <w:szCs w:val="24"/>
        </w:rPr>
        <w:t>El cambio climático se entiende a través de impactos reales</w:t>
      </w:r>
    </w:p>
    <w:p w14:paraId="61940550" w14:textId="77777777" w:rsidR="00B05C59" w:rsidRDefault="00C032AF" w:rsidP="00C263CC">
      <w:pPr>
        <w:jc w:val="both"/>
        <w:rPr>
          <w:rFonts w:ascii="Calibri" w:eastAsia="Calibri" w:hAnsi="Calibri" w:cs="Calibri"/>
          <w:sz w:val="24"/>
          <w:szCs w:val="24"/>
        </w:rPr>
      </w:pPr>
      <w:r w:rsidRPr="00C263CC">
        <w:rPr>
          <w:rFonts w:ascii="Calibri" w:eastAsia="Calibri" w:hAnsi="Calibri" w:cs="Calibri"/>
          <w:sz w:val="24"/>
          <w:szCs w:val="24"/>
        </w:rPr>
        <w:t xml:space="preserve">Para muchas personas, el cambio climático ya no es un concepto abstracto, sino algo que se experimenta directamente. </w:t>
      </w:r>
      <w:r w:rsidRPr="00B05C59">
        <w:rPr>
          <w:rFonts w:ascii="Calibri" w:eastAsia="Calibri" w:hAnsi="Calibri" w:cs="Calibri"/>
          <w:b/>
          <w:bCs/>
          <w:sz w:val="24"/>
          <w:szCs w:val="24"/>
        </w:rPr>
        <w:t>El 77%</w:t>
      </w:r>
      <w:r w:rsidR="00B05C59" w:rsidRPr="00B05C59">
        <w:rPr>
          <w:rFonts w:ascii="Calibri" w:eastAsia="Calibri" w:hAnsi="Calibri" w:cs="Calibri"/>
          <w:b/>
          <w:bCs/>
          <w:sz w:val="24"/>
          <w:szCs w:val="24"/>
        </w:rPr>
        <w:t xml:space="preserve"> de los encuestados a nivel global</w:t>
      </w:r>
      <w:r w:rsidRPr="00B05C59">
        <w:rPr>
          <w:rFonts w:ascii="Calibri" w:eastAsia="Calibri" w:hAnsi="Calibri" w:cs="Calibri"/>
          <w:b/>
          <w:bCs/>
          <w:sz w:val="24"/>
          <w:szCs w:val="24"/>
        </w:rPr>
        <w:t xml:space="preserve"> cree que los desastres naturales </w:t>
      </w:r>
      <w:r w:rsidRPr="004A1D13">
        <w:rPr>
          <w:rFonts w:ascii="Calibri" w:eastAsia="Calibri" w:hAnsi="Calibri" w:cs="Calibri"/>
          <w:sz w:val="24"/>
          <w:szCs w:val="24"/>
        </w:rPr>
        <w:t>como inundaciones, incendios forestales y eventos climáticos extremos</w:t>
      </w:r>
      <w:r w:rsidRPr="00B05C59">
        <w:rPr>
          <w:rFonts w:ascii="Calibri" w:eastAsia="Calibri" w:hAnsi="Calibri" w:cs="Calibri"/>
          <w:b/>
          <w:bCs/>
          <w:sz w:val="24"/>
          <w:szCs w:val="24"/>
        </w:rPr>
        <w:t xml:space="preserve"> han aumentado debido al calentamiento global</w:t>
      </w:r>
      <w:r w:rsidRPr="00C263CC">
        <w:rPr>
          <w:rFonts w:ascii="Calibri" w:eastAsia="Calibri" w:hAnsi="Calibri" w:cs="Calibri"/>
          <w:sz w:val="24"/>
          <w:szCs w:val="24"/>
        </w:rPr>
        <w:t>, aunque esta cifra cayó levemente desde el 81% registrado en 2021.</w:t>
      </w:r>
      <w:r w:rsidR="00B05C59">
        <w:rPr>
          <w:rFonts w:ascii="Calibri" w:eastAsia="Calibri" w:hAnsi="Calibri" w:cs="Calibri"/>
          <w:sz w:val="24"/>
          <w:szCs w:val="24"/>
        </w:rPr>
        <w:t xml:space="preserve"> </w:t>
      </w:r>
    </w:p>
    <w:p w14:paraId="7B87A4FF" w14:textId="77777777" w:rsidR="00D37160" w:rsidRDefault="00E3559E" w:rsidP="00C263CC">
      <w:pPr>
        <w:jc w:val="both"/>
        <w:rPr>
          <w:rFonts w:ascii="Calibri" w:eastAsia="Calibri" w:hAnsi="Calibri" w:cs="Calibri"/>
          <w:b/>
          <w:bCs/>
          <w:sz w:val="24"/>
          <w:szCs w:val="24"/>
        </w:rPr>
      </w:pPr>
      <w:r w:rsidRPr="00E3559E">
        <w:rPr>
          <w:rFonts w:ascii="Calibri" w:eastAsia="Calibri" w:hAnsi="Calibri" w:cs="Calibri"/>
          <w:sz w:val="24"/>
          <w:szCs w:val="24"/>
        </w:rPr>
        <w:t xml:space="preserve">Esta idea es especialmente fuerte entre </w:t>
      </w:r>
      <w:r w:rsidRPr="00E3559E">
        <w:rPr>
          <w:rFonts w:ascii="Calibri" w:eastAsia="Calibri" w:hAnsi="Calibri" w:cs="Calibri"/>
          <w:b/>
          <w:bCs/>
          <w:sz w:val="24"/>
          <w:szCs w:val="24"/>
        </w:rPr>
        <w:t>los jóvenes y las mujeres</w:t>
      </w:r>
      <w:r w:rsidRPr="00E3559E">
        <w:rPr>
          <w:rFonts w:ascii="Calibri" w:eastAsia="Calibri" w:hAnsi="Calibri" w:cs="Calibri"/>
          <w:sz w:val="24"/>
          <w:szCs w:val="24"/>
        </w:rPr>
        <w:t xml:space="preserve">, quienes </w:t>
      </w:r>
      <w:r w:rsidRPr="00E3559E">
        <w:rPr>
          <w:rFonts w:ascii="Calibri" w:eastAsia="Calibri" w:hAnsi="Calibri" w:cs="Calibri"/>
          <w:b/>
          <w:bCs/>
          <w:sz w:val="24"/>
          <w:szCs w:val="24"/>
        </w:rPr>
        <w:t>perciben con mayor claridad el impacto directo del calentamiento global</w:t>
      </w:r>
      <w:r>
        <w:rPr>
          <w:rFonts w:ascii="Calibri" w:eastAsia="Calibri" w:hAnsi="Calibri" w:cs="Calibri"/>
          <w:sz w:val="24"/>
          <w:szCs w:val="24"/>
        </w:rPr>
        <w:t>, y</w:t>
      </w:r>
      <w:r w:rsidRPr="00E3559E">
        <w:rPr>
          <w:rFonts w:ascii="Calibri" w:eastAsia="Calibri" w:hAnsi="Calibri" w:cs="Calibri"/>
          <w:sz w:val="24"/>
          <w:szCs w:val="24"/>
        </w:rPr>
        <w:t xml:space="preserve"> </w:t>
      </w:r>
      <w:r w:rsidRPr="00E3559E">
        <w:rPr>
          <w:rFonts w:ascii="Calibri" w:eastAsia="Calibri" w:hAnsi="Calibri" w:cs="Calibri"/>
          <w:b/>
          <w:bCs/>
          <w:sz w:val="24"/>
          <w:szCs w:val="24"/>
        </w:rPr>
        <w:t>alcanza sus niveles más altos en la región de APAC</w:t>
      </w:r>
      <w:r>
        <w:rPr>
          <w:rFonts w:ascii="Calibri" w:eastAsia="Calibri" w:hAnsi="Calibri" w:cs="Calibri"/>
          <w:b/>
          <w:bCs/>
          <w:sz w:val="24"/>
          <w:szCs w:val="24"/>
        </w:rPr>
        <w:t xml:space="preserve">. </w:t>
      </w:r>
    </w:p>
    <w:p w14:paraId="742B025A" w14:textId="13695AD1" w:rsidR="005722F9" w:rsidRPr="00D37160" w:rsidRDefault="00E3559E" w:rsidP="00C263CC">
      <w:pPr>
        <w:jc w:val="both"/>
        <w:rPr>
          <w:rFonts w:ascii="Calibri" w:eastAsia="Calibri" w:hAnsi="Calibri" w:cs="Calibri"/>
          <w:b/>
          <w:bCs/>
          <w:sz w:val="24"/>
          <w:szCs w:val="24"/>
        </w:rPr>
      </w:pPr>
      <w:r w:rsidRPr="00E3559E">
        <w:rPr>
          <w:rFonts w:ascii="Calibri" w:eastAsia="Calibri" w:hAnsi="Calibri" w:cs="Calibri"/>
          <w:sz w:val="24"/>
          <w:szCs w:val="24"/>
        </w:rPr>
        <w:t>En</w:t>
      </w:r>
      <w:r>
        <w:rPr>
          <w:rFonts w:ascii="Calibri" w:eastAsia="Calibri" w:hAnsi="Calibri" w:cs="Calibri"/>
          <w:b/>
          <w:bCs/>
          <w:sz w:val="24"/>
          <w:szCs w:val="24"/>
        </w:rPr>
        <w:t xml:space="preserve"> </w:t>
      </w:r>
      <w:r w:rsidRPr="00830071">
        <w:rPr>
          <w:rFonts w:ascii="Calibri" w:eastAsia="Calibri" w:hAnsi="Calibri" w:cs="Calibri"/>
          <w:b/>
          <w:bCs/>
          <w:sz w:val="24"/>
          <w:szCs w:val="24"/>
        </w:rPr>
        <w:t>América</w:t>
      </w:r>
      <w:r w:rsidRPr="00051225">
        <w:rPr>
          <w:rFonts w:ascii="Calibri" w:eastAsia="Calibri" w:hAnsi="Calibri" w:cs="Calibri"/>
          <w:b/>
          <w:bCs/>
          <w:sz w:val="24"/>
          <w:szCs w:val="24"/>
        </w:rPr>
        <w:t xml:space="preserve"> </w:t>
      </w:r>
      <w:r w:rsidRPr="00E3559E">
        <w:rPr>
          <w:rFonts w:ascii="Calibri" w:eastAsia="Calibri" w:hAnsi="Calibri" w:cs="Calibri"/>
          <w:b/>
          <w:bCs/>
          <w:sz w:val="24"/>
          <w:szCs w:val="24"/>
        </w:rPr>
        <w:t>Latina también se observan niveles elevados de acuerdo</w:t>
      </w:r>
      <w:r>
        <w:rPr>
          <w:rFonts w:ascii="Calibri" w:eastAsia="Calibri" w:hAnsi="Calibri" w:cs="Calibri"/>
          <w:sz w:val="24"/>
          <w:szCs w:val="24"/>
        </w:rPr>
        <w:t xml:space="preserve">: </w:t>
      </w:r>
      <w:r w:rsidR="000F7ACA">
        <w:rPr>
          <w:rFonts w:ascii="Calibri" w:eastAsia="Calibri" w:hAnsi="Calibri" w:cs="Calibri"/>
          <w:sz w:val="24"/>
          <w:szCs w:val="24"/>
        </w:rPr>
        <w:t xml:space="preserve">Venezuela (92%), </w:t>
      </w:r>
      <w:r>
        <w:rPr>
          <w:rFonts w:ascii="Calibri" w:eastAsia="Calibri" w:hAnsi="Calibri" w:cs="Calibri"/>
          <w:sz w:val="24"/>
          <w:szCs w:val="24"/>
        </w:rPr>
        <w:t>P</w:t>
      </w:r>
      <w:r w:rsidRPr="00830071">
        <w:rPr>
          <w:rFonts w:ascii="Calibri" w:eastAsia="Calibri" w:hAnsi="Calibri" w:cs="Calibri"/>
          <w:sz w:val="24"/>
          <w:szCs w:val="24"/>
        </w:rPr>
        <w:t>erú (88%), México (87%)</w:t>
      </w:r>
      <w:r>
        <w:rPr>
          <w:rFonts w:ascii="Calibri" w:eastAsia="Calibri" w:hAnsi="Calibri" w:cs="Calibri"/>
          <w:sz w:val="24"/>
          <w:szCs w:val="24"/>
        </w:rPr>
        <w:t xml:space="preserve">, </w:t>
      </w:r>
      <w:r w:rsidRPr="00830071">
        <w:rPr>
          <w:rFonts w:ascii="Calibri" w:eastAsia="Calibri" w:hAnsi="Calibri" w:cs="Calibri"/>
          <w:sz w:val="24"/>
          <w:szCs w:val="24"/>
        </w:rPr>
        <w:t>Colombia (86%)</w:t>
      </w:r>
      <w:r>
        <w:rPr>
          <w:rFonts w:ascii="Calibri" w:eastAsia="Calibri" w:hAnsi="Calibri" w:cs="Calibri"/>
          <w:sz w:val="24"/>
          <w:szCs w:val="24"/>
        </w:rPr>
        <w:t xml:space="preserve">, </w:t>
      </w:r>
      <w:r w:rsidRPr="00830071">
        <w:rPr>
          <w:rFonts w:ascii="Calibri" w:eastAsia="Calibri" w:hAnsi="Calibri" w:cs="Calibri"/>
          <w:sz w:val="24"/>
          <w:szCs w:val="24"/>
        </w:rPr>
        <w:t>Ecuador y Paraguay (81%), Argentina (80%), Brasil (77%) y Chile (75%), lo que evidencia una tendencia regional ampliamente extendida, aunque con variaciones moderadas entre países.</w:t>
      </w:r>
      <w:r w:rsidR="00D37160">
        <w:rPr>
          <w:rFonts w:ascii="Calibri" w:eastAsia="Calibri" w:hAnsi="Calibri" w:cs="Calibri"/>
          <w:sz w:val="24"/>
          <w:szCs w:val="24"/>
        </w:rPr>
        <w:t xml:space="preserve"> </w:t>
      </w:r>
      <w:r w:rsidR="00D37160" w:rsidRPr="00D37160">
        <w:rPr>
          <w:rFonts w:ascii="Calibri" w:eastAsia="Calibri" w:hAnsi="Calibri" w:cs="Calibri"/>
          <w:b/>
          <w:bCs/>
          <w:sz w:val="24"/>
          <w:szCs w:val="24"/>
        </w:rPr>
        <w:t xml:space="preserve">En nuestro país, esta creencia se mantiene estable desde 2021. </w:t>
      </w:r>
    </w:p>
    <w:p w14:paraId="1D07593F" w14:textId="77777777" w:rsidR="00F75117" w:rsidRDefault="00F75117" w:rsidP="00C263CC">
      <w:pPr>
        <w:jc w:val="both"/>
        <w:rPr>
          <w:rFonts w:ascii="Calibri" w:eastAsia="Calibri" w:hAnsi="Calibri" w:cs="Calibri"/>
          <w:sz w:val="24"/>
          <w:szCs w:val="24"/>
        </w:rPr>
      </w:pPr>
    </w:p>
    <w:p w14:paraId="704184E6" w14:textId="77777777" w:rsidR="00481559" w:rsidRDefault="00481559">
      <w:pPr>
        <w:rPr>
          <w:rFonts w:ascii="Calibri" w:eastAsia="Calibri" w:hAnsi="Calibri" w:cs="Calibri"/>
          <w:b/>
          <w:bCs/>
          <w:color w:val="388600"/>
          <w:sz w:val="24"/>
          <w:szCs w:val="24"/>
        </w:rPr>
      </w:pPr>
      <w:r>
        <w:rPr>
          <w:rFonts w:ascii="Calibri" w:eastAsia="Calibri" w:hAnsi="Calibri" w:cs="Calibri"/>
          <w:b/>
          <w:bCs/>
          <w:color w:val="388600"/>
          <w:sz w:val="24"/>
          <w:szCs w:val="24"/>
        </w:rPr>
        <w:br w:type="page"/>
      </w:r>
    </w:p>
    <w:p w14:paraId="378866B5" w14:textId="41A84A91" w:rsidR="00C032AF" w:rsidRPr="00506381" w:rsidRDefault="00C032AF" w:rsidP="00C263CC">
      <w:pPr>
        <w:jc w:val="both"/>
        <w:rPr>
          <w:rFonts w:ascii="Calibri" w:eastAsia="Calibri" w:hAnsi="Calibri" w:cs="Calibri"/>
          <w:b/>
          <w:bCs/>
          <w:color w:val="388600"/>
          <w:sz w:val="24"/>
          <w:szCs w:val="24"/>
        </w:rPr>
      </w:pPr>
      <w:r w:rsidRPr="00506381">
        <w:rPr>
          <w:rFonts w:ascii="Calibri" w:eastAsia="Calibri" w:hAnsi="Calibri" w:cs="Calibri"/>
          <w:b/>
          <w:bCs/>
          <w:color w:val="388600"/>
          <w:sz w:val="24"/>
          <w:szCs w:val="24"/>
        </w:rPr>
        <w:lastRenderedPageBreak/>
        <w:t>El apoyo a la sostenibilidad se enfrenta con la realidad económica</w:t>
      </w:r>
    </w:p>
    <w:p w14:paraId="7CEAEA51" w14:textId="1C945ECC" w:rsidR="00B67B0C" w:rsidRPr="00D37160" w:rsidRDefault="00C032AF" w:rsidP="009E1411">
      <w:pPr>
        <w:jc w:val="both"/>
        <w:rPr>
          <w:rFonts w:ascii="Calibri" w:eastAsia="Calibri" w:hAnsi="Calibri" w:cs="Calibri"/>
          <w:b/>
          <w:bCs/>
          <w:sz w:val="24"/>
          <w:szCs w:val="24"/>
        </w:rPr>
      </w:pPr>
      <w:r w:rsidRPr="00C263CC">
        <w:rPr>
          <w:rFonts w:ascii="Calibri" w:eastAsia="Calibri" w:hAnsi="Calibri" w:cs="Calibri"/>
          <w:sz w:val="24"/>
          <w:szCs w:val="24"/>
        </w:rPr>
        <w:t xml:space="preserve">A pesar de la fuerte conciencia ambiental, los comportamientos están cada vez más condicionados por restricciones económicas. </w:t>
      </w:r>
      <w:r w:rsidR="00E3559E">
        <w:rPr>
          <w:rFonts w:ascii="Calibri" w:eastAsia="Calibri" w:hAnsi="Calibri" w:cs="Calibri"/>
          <w:b/>
          <w:bCs/>
          <w:sz w:val="24"/>
          <w:szCs w:val="24"/>
        </w:rPr>
        <w:t>El</w:t>
      </w:r>
      <w:r w:rsidRPr="0020575B">
        <w:rPr>
          <w:rFonts w:ascii="Calibri" w:eastAsia="Calibri" w:hAnsi="Calibri" w:cs="Calibri"/>
          <w:b/>
          <w:bCs/>
          <w:sz w:val="24"/>
          <w:szCs w:val="24"/>
        </w:rPr>
        <w:t xml:space="preserve"> 65% de las personas</w:t>
      </w:r>
      <w:r w:rsidR="0020575B">
        <w:rPr>
          <w:rFonts w:ascii="Calibri" w:eastAsia="Calibri" w:hAnsi="Calibri" w:cs="Calibri"/>
          <w:b/>
          <w:bCs/>
          <w:sz w:val="24"/>
          <w:szCs w:val="24"/>
        </w:rPr>
        <w:t xml:space="preserve"> a nivel global</w:t>
      </w:r>
      <w:r w:rsidRPr="0020575B">
        <w:rPr>
          <w:rFonts w:ascii="Calibri" w:eastAsia="Calibri" w:hAnsi="Calibri" w:cs="Calibri"/>
          <w:b/>
          <w:bCs/>
          <w:sz w:val="24"/>
          <w:szCs w:val="24"/>
        </w:rPr>
        <w:t xml:space="preserve"> afirma estar dispuesta a pagar más por productos amigables con el medio ambiente, aunque este nivel se ha suavizado ligeramente con el tiempo</w:t>
      </w:r>
      <w:r w:rsidR="0020575B">
        <w:rPr>
          <w:rFonts w:ascii="Calibri" w:eastAsia="Calibri" w:hAnsi="Calibri" w:cs="Calibri"/>
          <w:b/>
          <w:bCs/>
          <w:sz w:val="24"/>
          <w:szCs w:val="24"/>
        </w:rPr>
        <w:t xml:space="preserve"> (69% en 2021). </w:t>
      </w:r>
    </w:p>
    <w:p w14:paraId="553DAED6" w14:textId="7391C419" w:rsidR="00506381" w:rsidRPr="009E1411" w:rsidRDefault="00E3559E" w:rsidP="009E1411">
      <w:pPr>
        <w:jc w:val="both"/>
        <w:rPr>
          <w:rFonts w:ascii="Calibri" w:eastAsia="Calibri" w:hAnsi="Calibri" w:cs="Calibri"/>
          <w:b/>
          <w:bCs/>
          <w:sz w:val="24"/>
          <w:szCs w:val="24"/>
        </w:rPr>
      </w:pPr>
      <w:r>
        <w:rPr>
          <w:rFonts w:ascii="Calibri" w:eastAsia="Calibri" w:hAnsi="Calibri" w:cs="Calibri"/>
          <w:sz w:val="24"/>
          <w:szCs w:val="24"/>
        </w:rPr>
        <w:t>Esta predisposición</w:t>
      </w:r>
      <w:r w:rsidR="00C032AF" w:rsidRPr="00830071">
        <w:rPr>
          <w:rFonts w:ascii="Calibri" w:eastAsia="Calibri" w:hAnsi="Calibri" w:cs="Calibri"/>
          <w:sz w:val="24"/>
          <w:szCs w:val="24"/>
        </w:rPr>
        <w:t xml:space="preserve"> </w:t>
      </w:r>
      <w:r w:rsidR="00830071">
        <w:rPr>
          <w:rFonts w:ascii="Calibri" w:eastAsia="Calibri" w:hAnsi="Calibri" w:cs="Calibri"/>
          <w:b/>
          <w:bCs/>
          <w:sz w:val="24"/>
          <w:szCs w:val="24"/>
        </w:rPr>
        <w:t>crece</w:t>
      </w:r>
      <w:r w:rsidR="00C032AF" w:rsidRPr="0020575B">
        <w:rPr>
          <w:rFonts w:ascii="Calibri" w:eastAsia="Calibri" w:hAnsi="Calibri" w:cs="Calibri"/>
          <w:b/>
          <w:bCs/>
          <w:sz w:val="24"/>
          <w:szCs w:val="24"/>
        </w:rPr>
        <w:t xml:space="preserve"> </w:t>
      </w:r>
      <w:r w:rsidR="00D37160" w:rsidRPr="00D37160">
        <w:rPr>
          <w:rFonts w:ascii="Calibri" w:eastAsia="Calibri" w:hAnsi="Calibri" w:cs="Calibri"/>
          <w:sz w:val="24"/>
          <w:szCs w:val="24"/>
        </w:rPr>
        <w:t>entre la población global</w:t>
      </w:r>
      <w:r w:rsidR="00D37160">
        <w:rPr>
          <w:rFonts w:ascii="Calibri" w:eastAsia="Calibri" w:hAnsi="Calibri" w:cs="Calibri"/>
          <w:b/>
          <w:bCs/>
          <w:sz w:val="24"/>
          <w:szCs w:val="24"/>
        </w:rPr>
        <w:t xml:space="preserve"> joven </w:t>
      </w:r>
      <w:r w:rsidR="00D37160" w:rsidRPr="00D37160">
        <w:rPr>
          <w:rFonts w:ascii="Calibri" w:eastAsia="Calibri" w:hAnsi="Calibri" w:cs="Calibri"/>
          <w:sz w:val="24"/>
          <w:szCs w:val="24"/>
        </w:rPr>
        <w:t xml:space="preserve">y entre </w:t>
      </w:r>
      <w:r w:rsidRPr="00D37160">
        <w:rPr>
          <w:rFonts w:ascii="Calibri" w:eastAsia="Calibri" w:hAnsi="Calibri" w:cs="Calibri"/>
          <w:sz w:val="24"/>
          <w:szCs w:val="24"/>
        </w:rPr>
        <w:t>las</w:t>
      </w:r>
      <w:r w:rsidR="00C032AF" w:rsidRPr="0020575B">
        <w:rPr>
          <w:rFonts w:ascii="Calibri" w:eastAsia="Calibri" w:hAnsi="Calibri" w:cs="Calibri"/>
          <w:b/>
          <w:bCs/>
          <w:sz w:val="24"/>
          <w:szCs w:val="24"/>
        </w:rPr>
        <w:t xml:space="preserve"> mujeres</w:t>
      </w:r>
      <w:r w:rsidR="00D37160">
        <w:rPr>
          <w:rFonts w:ascii="Calibri" w:eastAsia="Calibri" w:hAnsi="Calibri" w:cs="Calibri"/>
          <w:b/>
          <w:bCs/>
          <w:sz w:val="24"/>
          <w:szCs w:val="24"/>
        </w:rPr>
        <w:t xml:space="preserve">. </w:t>
      </w:r>
      <w:r w:rsidR="00D37160" w:rsidRPr="00D37160">
        <w:rPr>
          <w:rFonts w:ascii="Calibri" w:eastAsia="Calibri" w:hAnsi="Calibri" w:cs="Calibri"/>
          <w:sz w:val="24"/>
          <w:szCs w:val="24"/>
        </w:rPr>
        <w:t>A</w:t>
      </w:r>
      <w:r w:rsidRPr="00D37160">
        <w:rPr>
          <w:rFonts w:ascii="Calibri" w:eastAsia="Calibri" w:hAnsi="Calibri" w:cs="Calibri"/>
          <w:sz w:val="24"/>
          <w:szCs w:val="24"/>
        </w:rPr>
        <w:t xml:space="preserve"> nivel regional</w:t>
      </w:r>
      <w:r w:rsidR="00D37160" w:rsidRPr="00D37160">
        <w:rPr>
          <w:rFonts w:ascii="Calibri" w:eastAsia="Calibri" w:hAnsi="Calibri" w:cs="Calibri"/>
          <w:sz w:val="24"/>
          <w:szCs w:val="24"/>
        </w:rPr>
        <w:t xml:space="preserve">, </w:t>
      </w:r>
      <w:r w:rsidRPr="00D37160">
        <w:rPr>
          <w:rFonts w:ascii="Calibri" w:eastAsia="Calibri" w:hAnsi="Calibri" w:cs="Calibri"/>
          <w:sz w:val="24"/>
          <w:szCs w:val="24"/>
        </w:rPr>
        <w:t>es</w:t>
      </w:r>
      <w:r>
        <w:rPr>
          <w:rFonts w:ascii="Calibri" w:eastAsia="Calibri" w:hAnsi="Calibri" w:cs="Calibri"/>
          <w:b/>
          <w:bCs/>
          <w:sz w:val="24"/>
          <w:szCs w:val="24"/>
        </w:rPr>
        <w:t xml:space="preserve"> </w:t>
      </w:r>
      <w:r w:rsidR="00C032AF" w:rsidRPr="0020575B">
        <w:rPr>
          <w:rFonts w:ascii="Calibri" w:eastAsia="Calibri" w:hAnsi="Calibri" w:cs="Calibri"/>
          <w:b/>
          <w:bCs/>
          <w:sz w:val="24"/>
          <w:szCs w:val="24"/>
        </w:rPr>
        <w:t xml:space="preserve">más fuerte en </w:t>
      </w:r>
      <w:r w:rsidR="00830071">
        <w:rPr>
          <w:rFonts w:ascii="Calibri" w:eastAsia="Calibri" w:hAnsi="Calibri" w:cs="Calibri"/>
          <w:b/>
          <w:bCs/>
          <w:sz w:val="24"/>
          <w:szCs w:val="24"/>
        </w:rPr>
        <w:t>APAC</w:t>
      </w:r>
      <w:r w:rsidR="000F7ACA">
        <w:rPr>
          <w:rFonts w:ascii="Calibri" w:eastAsia="Calibri" w:hAnsi="Calibri" w:cs="Calibri"/>
          <w:b/>
          <w:bCs/>
          <w:sz w:val="24"/>
          <w:szCs w:val="24"/>
        </w:rPr>
        <w:t xml:space="preserve">, MENA y </w:t>
      </w:r>
      <w:r w:rsidR="00830071">
        <w:rPr>
          <w:rFonts w:ascii="Calibri" w:eastAsia="Calibri" w:hAnsi="Calibri" w:cs="Calibri"/>
          <w:b/>
          <w:bCs/>
          <w:sz w:val="24"/>
          <w:szCs w:val="24"/>
        </w:rPr>
        <w:t>Am</w:t>
      </w:r>
      <w:r w:rsidR="000F7ACA">
        <w:rPr>
          <w:rFonts w:ascii="Calibri" w:eastAsia="Calibri" w:hAnsi="Calibri" w:cs="Calibri"/>
          <w:b/>
          <w:bCs/>
          <w:sz w:val="24"/>
          <w:szCs w:val="24"/>
        </w:rPr>
        <w:t>é</w:t>
      </w:r>
      <w:r w:rsidR="00830071">
        <w:rPr>
          <w:rFonts w:ascii="Calibri" w:eastAsia="Calibri" w:hAnsi="Calibri" w:cs="Calibri"/>
          <w:b/>
          <w:bCs/>
          <w:sz w:val="24"/>
          <w:szCs w:val="24"/>
        </w:rPr>
        <w:t>rica,</w:t>
      </w:r>
      <w:r w:rsidR="00C032AF" w:rsidRPr="0020575B">
        <w:rPr>
          <w:rFonts w:ascii="Calibri" w:eastAsia="Calibri" w:hAnsi="Calibri" w:cs="Calibri"/>
          <w:b/>
          <w:bCs/>
          <w:sz w:val="24"/>
          <w:szCs w:val="24"/>
        </w:rPr>
        <w:t xml:space="preserve"> </w:t>
      </w:r>
      <w:r w:rsidR="00C032AF" w:rsidRPr="00D37160">
        <w:rPr>
          <w:rFonts w:ascii="Calibri" w:eastAsia="Calibri" w:hAnsi="Calibri" w:cs="Calibri"/>
          <w:sz w:val="24"/>
          <w:szCs w:val="24"/>
        </w:rPr>
        <w:t xml:space="preserve">mientras que </w:t>
      </w:r>
      <w:r w:rsidR="00C032AF" w:rsidRPr="0020575B">
        <w:rPr>
          <w:rFonts w:ascii="Calibri" w:eastAsia="Calibri" w:hAnsi="Calibri" w:cs="Calibri"/>
          <w:b/>
          <w:bCs/>
          <w:sz w:val="24"/>
          <w:szCs w:val="24"/>
        </w:rPr>
        <w:t>Europa tiende a mostrar niveles más bajos</w:t>
      </w:r>
      <w:r w:rsidR="00D37160">
        <w:rPr>
          <w:rFonts w:ascii="Calibri" w:eastAsia="Calibri" w:hAnsi="Calibri" w:cs="Calibri"/>
          <w:b/>
          <w:bCs/>
          <w:sz w:val="24"/>
          <w:szCs w:val="24"/>
        </w:rPr>
        <w:t xml:space="preserve"> de acuerdo. </w:t>
      </w:r>
    </w:p>
    <w:p w14:paraId="0F57BE84" w14:textId="77777777" w:rsidR="000F7ACA" w:rsidRPr="000F7ACA" w:rsidRDefault="00254D1C" w:rsidP="00254D1C">
      <w:pPr>
        <w:shd w:val="clear" w:color="auto" w:fill="FFFFFF" w:themeFill="background1"/>
        <w:jc w:val="both"/>
        <w:rPr>
          <w:rFonts w:ascii="Calibri" w:eastAsia="Calibri" w:hAnsi="Calibri" w:cs="Calibri"/>
          <w:sz w:val="24"/>
          <w:szCs w:val="24"/>
        </w:rPr>
      </w:pPr>
      <w:r w:rsidRPr="000F7ACA">
        <w:rPr>
          <w:rFonts w:ascii="Calibri" w:eastAsia="Calibri" w:hAnsi="Calibri" w:cs="Calibri"/>
          <w:b/>
          <w:bCs/>
          <w:sz w:val="24"/>
          <w:szCs w:val="24"/>
        </w:rPr>
        <w:t>En Argentina, el 68%</w:t>
      </w:r>
      <w:r w:rsidRPr="000F7ACA">
        <w:rPr>
          <w:rFonts w:ascii="Calibri" w:eastAsia="Calibri" w:hAnsi="Calibri" w:cs="Calibri"/>
          <w:sz w:val="24"/>
          <w:szCs w:val="24"/>
        </w:rPr>
        <w:t xml:space="preserve"> afirma estar dispuesto a pagar más por productos amigables con el medio ambiente, una cifra prácticamente estable respecto de las mediciones anteriores</w:t>
      </w:r>
      <w:r w:rsidR="000F7ACA" w:rsidRPr="000F7ACA">
        <w:rPr>
          <w:rFonts w:ascii="Calibri" w:eastAsia="Calibri" w:hAnsi="Calibri" w:cs="Calibri"/>
          <w:sz w:val="24"/>
          <w:szCs w:val="24"/>
        </w:rPr>
        <w:t>.</w:t>
      </w:r>
    </w:p>
    <w:p w14:paraId="5A41CA3B" w14:textId="22862575" w:rsidR="00183503" w:rsidRDefault="00254D1C" w:rsidP="00254D1C">
      <w:pPr>
        <w:shd w:val="clear" w:color="auto" w:fill="FFFFFF" w:themeFill="background1"/>
        <w:jc w:val="both"/>
        <w:rPr>
          <w:rFonts w:ascii="Calibri" w:eastAsia="Calibri" w:hAnsi="Calibri" w:cs="Calibri"/>
          <w:sz w:val="24"/>
          <w:szCs w:val="24"/>
        </w:rPr>
      </w:pPr>
      <w:r>
        <w:rPr>
          <w:rFonts w:ascii="Calibri" w:eastAsia="Calibri" w:hAnsi="Calibri" w:cs="Calibri"/>
          <w:sz w:val="24"/>
          <w:szCs w:val="24"/>
        </w:rPr>
        <w:t xml:space="preserve"> </w:t>
      </w:r>
    </w:p>
    <w:p w14:paraId="22BE5568" w14:textId="48B06E92" w:rsidR="00C032AF" w:rsidRPr="00506381" w:rsidRDefault="00C032AF" w:rsidP="00C263CC">
      <w:pPr>
        <w:jc w:val="both"/>
        <w:rPr>
          <w:rFonts w:ascii="Calibri" w:eastAsia="Calibri" w:hAnsi="Calibri" w:cs="Calibri"/>
          <w:b/>
          <w:bCs/>
          <w:color w:val="388600"/>
          <w:sz w:val="24"/>
          <w:szCs w:val="24"/>
        </w:rPr>
      </w:pPr>
      <w:r w:rsidRPr="00506381">
        <w:rPr>
          <w:rFonts w:ascii="Calibri" w:eastAsia="Calibri" w:hAnsi="Calibri" w:cs="Calibri"/>
          <w:b/>
          <w:bCs/>
          <w:color w:val="388600"/>
          <w:sz w:val="24"/>
          <w:szCs w:val="24"/>
        </w:rPr>
        <w:t>La brecha entre intención y acción sigue siendo un desafío central</w:t>
      </w:r>
      <w:r w:rsidR="00E3559E">
        <w:rPr>
          <w:rFonts w:ascii="Calibri" w:eastAsia="Calibri" w:hAnsi="Calibri" w:cs="Calibri"/>
          <w:b/>
          <w:bCs/>
          <w:color w:val="388600"/>
          <w:sz w:val="24"/>
          <w:szCs w:val="24"/>
        </w:rPr>
        <w:t xml:space="preserve">, y </w:t>
      </w:r>
      <w:r w:rsidR="004A1D13">
        <w:rPr>
          <w:rFonts w:ascii="Calibri" w:eastAsia="Calibri" w:hAnsi="Calibri" w:cs="Calibri"/>
          <w:b/>
          <w:bCs/>
          <w:color w:val="388600"/>
          <w:sz w:val="24"/>
          <w:szCs w:val="24"/>
        </w:rPr>
        <w:t>América Latina la hace propia</w:t>
      </w:r>
    </w:p>
    <w:p w14:paraId="5F33EE56" w14:textId="67CB7C34" w:rsidR="00C032AF" w:rsidRDefault="004A1D13" w:rsidP="00C263CC">
      <w:pPr>
        <w:jc w:val="both"/>
        <w:rPr>
          <w:rFonts w:ascii="Calibri" w:eastAsia="Calibri" w:hAnsi="Calibri" w:cs="Calibri"/>
          <w:sz w:val="24"/>
          <w:szCs w:val="24"/>
        </w:rPr>
      </w:pPr>
      <w:r>
        <w:rPr>
          <w:rFonts w:ascii="Calibri" w:eastAsia="Calibri" w:hAnsi="Calibri" w:cs="Calibri"/>
          <w:sz w:val="24"/>
          <w:szCs w:val="24"/>
        </w:rPr>
        <w:t>Otro de</w:t>
      </w:r>
      <w:r w:rsidR="00C032AF" w:rsidRPr="004A1D13">
        <w:rPr>
          <w:rFonts w:ascii="Calibri" w:eastAsia="Calibri" w:hAnsi="Calibri" w:cs="Calibri"/>
          <w:sz w:val="24"/>
          <w:szCs w:val="24"/>
        </w:rPr>
        <w:t xml:space="preserve"> los hallazgos del estudio es la persistente brecha entre aspiración y comportamiento:</w:t>
      </w:r>
      <w:r w:rsidR="00C032AF" w:rsidRPr="009E1411">
        <w:rPr>
          <w:rFonts w:ascii="Calibri" w:eastAsia="Calibri" w:hAnsi="Calibri" w:cs="Calibri"/>
          <w:b/>
          <w:bCs/>
          <w:sz w:val="24"/>
          <w:szCs w:val="24"/>
        </w:rPr>
        <w:t xml:space="preserve"> el 62%</w:t>
      </w:r>
      <w:r w:rsidR="00E3559E">
        <w:rPr>
          <w:rFonts w:ascii="Calibri" w:eastAsia="Calibri" w:hAnsi="Calibri" w:cs="Calibri"/>
          <w:b/>
          <w:bCs/>
          <w:sz w:val="24"/>
          <w:szCs w:val="24"/>
        </w:rPr>
        <w:t xml:space="preserve"> de la población global</w:t>
      </w:r>
      <w:r w:rsidR="00C032AF" w:rsidRPr="009E1411">
        <w:rPr>
          <w:rFonts w:ascii="Calibri" w:eastAsia="Calibri" w:hAnsi="Calibri" w:cs="Calibri"/>
          <w:b/>
          <w:bCs/>
          <w:sz w:val="24"/>
          <w:szCs w:val="24"/>
        </w:rPr>
        <w:t xml:space="preserve"> afirma que</w:t>
      </w:r>
      <w:r w:rsidR="00E3559E">
        <w:rPr>
          <w:rFonts w:ascii="Calibri" w:eastAsia="Calibri" w:hAnsi="Calibri" w:cs="Calibri"/>
          <w:b/>
          <w:bCs/>
          <w:sz w:val="24"/>
          <w:szCs w:val="24"/>
        </w:rPr>
        <w:t xml:space="preserve"> le </w:t>
      </w:r>
      <w:r w:rsidR="00E3559E" w:rsidRPr="00E3559E">
        <w:rPr>
          <w:rFonts w:ascii="Calibri" w:eastAsia="Calibri" w:hAnsi="Calibri" w:cs="Calibri"/>
          <w:b/>
          <w:bCs/>
          <w:sz w:val="24"/>
          <w:szCs w:val="24"/>
        </w:rPr>
        <w:t xml:space="preserve">gustaría vivir de manera más sustentable, pero </w:t>
      </w:r>
      <w:r w:rsidR="00E3559E">
        <w:rPr>
          <w:rFonts w:ascii="Calibri" w:eastAsia="Calibri" w:hAnsi="Calibri" w:cs="Calibri"/>
          <w:b/>
          <w:bCs/>
          <w:sz w:val="24"/>
          <w:szCs w:val="24"/>
        </w:rPr>
        <w:t>no hace</w:t>
      </w:r>
      <w:r w:rsidR="00E3559E" w:rsidRPr="00E3559E">
        <w:rPr>
          <w:rFonts w:ascii="Calibri" w:eastAsia="Calibri" w:hAnsi="Calibri" w:cs="Calibri"/>
          <w:b/>
          <w:bCs/>
          <w:sz w:val="24"/>
          <w:szCs w:val="24"/>
        </w:rPr>
        <w:t xml:space="preserve"> los cambios necesarios en </w:t>
      </w:r>
      <w:r w:rsidR="00E3559E">
        <w:rPr>
          <w:rFonts w:ascii="Calibri" w:eastAsia="Calibri" w:hAnsi="Calibri" w:cs="Calibri"/>
          <w:b/>
          <w:bCs/>
          <w:sz w:val="24"/>
          <w:szCs w:val="24"/>
        </w:rPr>
        <w:t xml:space="preserve">su </w:t>
      </w:r>
      <w:r w:rsidR="00E3559E" w:rsidRPr="00E3559E">
        <w:rPr>
          <w:rFonts w:ascii="Calibri" w:eastAsia="Calibri" w:hAnsi="Calibri" w:cs="Calibri"/>
          <w:b/>
          <w:bCs/>
          <w:sz w:val="24"/>
          <w:szCs w:val="24"/>
        </w:rPr>
        <w:t>comportamiento</w:t>
      </w:r>
      <w:r w:rsidR="00E3559E">
        <w:rPr>
          <w:rFonts w:ascii="Calibri" w:eastAsia="Calibri" w:hAnsi="Calibri" w:cs="Calibri"/>
          <w:b/>
          <w:bCs/>
          <w:sz w:val="24"/>
          <w:szCs w:val="24"/>
        </w:rPr>
        <w:t xml:space="preserve">. </w:t>
      </w:r>
      <w:r w:rsidR="00C032AF" w:rsidRPr="00C263CC">
        <w:rPr>
          <w:rFonts w:ascii="Calibri" w:eastAsia="Calibri" w:hAnsi="Calibri" w:cs="Calibri"/>
          <w:sz w:val="24"/>
          <w:szCs w:val="24"/>
        </w:rPr>
        <w:t xml:space="preserve">Esta brecha </w:t>
      </w:r>
      <w:r w:rsidR="00C032AF" w:rsidRPr="004A1D13">
        <w:rPr>
          <w:rFonts w:ascii="Calibri" w:eastAsia="Calibri" w:hAnsi="Calibri" w:cs="Calibri"/>
          <w:sz w:val="24"/>
          <w:szCs w:val="24"/>
        </w:rPr>
        <w:t xml:space="preserve">es </w:t>
      </w:r>
      <w:r w:rsidR="00C032AF" w:rsidRPr="00E3559E">
        <w:rPr>
          <w:rFonts w:ascii="Calibri" w:eastAsia="Calibri" w:hAnsi="Calibri" w:cs="Calibri"/>
          <w:sz w:val="24"/>
          <w:szCs w:val="24"/>
        </w:rPr>
        <w:t>particularmente pronunciada en</w:t>
      </w:r>
      <w:r w:rsidR="00C032AF" w:rsidRPr="009E1411">
        <w:rPr>
          <w:rFonts w:ascii="Calibri" w:eastAsia="Calibri" w:hAnsi="Calibri" w:cs="Calibri"/>
          <w:b/>
          <w:bCs/>
          <w:sz w:val="24"/>
          <w:szCs w:val="24"/>
        </w:rPr>
        <w:t xml:space="preserve"> Corea del </w:t>
      </w:r>
      <w:r w:rsidR="00C032AF" w:rsidRPr="004A1D13">
        <w:rPr>
          <w:rFonts w:ascii="Calibri" w:eastAsia="Calibri" w:hAnsi="Calibri" w:cs="Calibri"/>
          <w:b/>
          <w:bCs/>
          <w:sz w:val="24"/>
          <w:szCs w:val="24"/>
        </w:rPr>
        <w:t>Sur</w:t>
      </w:r>
      <w:r w:rsidR="00C032AF" w:rsidRPr="004A1D13">
        <w:rPr>
          <w:rFonts w:ascii="Calibri" w:eastAsia="Calibri" w:hAnsi="Calibri" w:cs="Calibri"/>
          <w:sz w:val="24"/>
          <w:szCs w:val="24"/>
        </w:rPr>
        <w:t xml:space="preserve"> (86%),</w:t>
      </w:r>
      <w:r w:rsidR="00C032AF" w:rsidRPr="009E1411">
        <w:rPr>
          <w:rFonts w:ascii="Calibri" w:eastAsia="Calibri" w:hAnsi="Calibri" w:cs="Calibri"/>
          <w:b/>
          <w:bCs/>
          <w:sz w:val="24"/>
          <w:szCs w:val="24"/>
        </w:rPr>
        <w:t xml:space="preserve"> Filipinas y Tailandia</w:t>
      </w:r>
      <w:r w:rsidR="00C032AF" w:rsidRPr="00C263CC">
        <w:rPr>
          <w:rFonts w:ascii="Calibri" w:eastAsia="Calibri" w:hAnsi="Calibri" w:cs="Calibri"/>
          <w:sz w:val="24"/>
          <w:szCs w:val="24"/>
        </w:rPr>
        <w:t xml:space="preserve"> (79%), </w:t>
      </w:r>
      <w:r w:rsidR="00C032AF" w:rsidRPr="009E1411">
        <w:rPr>
          <w:rFonts w:ascii="Calibri" w:eastAsia="Calibri" w:hAnsi="Calibri" w:cs="Calibri"/>
          <w:b/>
          <w:bCs/>
          <w:sz w:val="24"/>
          <w:szCs w:val="24"/>
        </w:rPr>
        <w:t xml:space="preserve">Ecuador </w:t>
      </w:r>
      <w:r w:rsidR="00C032AF" w:rsidRPr="00C263CC">
        <w:rPr>
          <w:rFonts w:ascii="Calibri" w:eastAsia="Calibri" w:hAnsi="Calibri" w:cs="Calibri"/>
          <w:sz w:val="24"/>
          <w:szCs w:val="24"/>
        </w:rPr>
        <w:t xml:space="preserve">(78%) </w:t>
      </w:r>
      <w:r w:rsidR="00C032AF" w:rsidRPr="004A1D13">
        <w:rPr>
          <w:rFonts w:ascii="Calibri" w:eastAsia="Calibri" w:hAnsi="Calibri" w:cs="Calibri"/>
          <w:sz w:val="24"/>
          <w:szCs w:val="24"/>
        </w:rPr>
        <w:t>y</w:t>
      </w:r>
      <w:r w:rsidR="00C032AF" w:rsidRPr="009E1411">
        <w:rPr>
          <w:rFonts w:ascii="Calibri" w:eastAsia="Calibri" w:hAnsi="Calibri" w:cs="Calibri"/>
          <w:b/>
          <w:bCs/>
          <w:sz w:val="24"/>
          <w:szCs w:val="24"/>
        </w:rPr>
        <w:t xml:space="preserve"> México</w:t>
      </w:r>
      <w:r w:rsidR="00C032AF" w:rsidRPr="00C263CC">
        <w:rPr>
          <w:rFonts w:ascii="Calibri" w:eastAsia="Calibri" w:hAnsi="Calibri" w:cs="Calibri"/>
          <w:sz w:val="24"/>
          <w:szCs w:val="24"/>
        </w:rPr>
        <w:t xml:space="preserve"> (77%), </w:t>
      </w:r>
      <w:r w:rsidR="00C032AF" w:rsidRPr="004A1D13">
        <w:rPr>
          <w:rFonts w:ascii="Calibri" w:eastAsia="Calibri" w:hAnsi="Calibri" w:cs="Calibri"/>
          <w:sz w:val="24"/>
          <w:szCs w:val="24"/>
        </w:rPr>
        <w:t>mientras que se observan</w:t>
      </w:r>
      <w:r w:rsidR="00C032AF" w:rsidRPr="009E1411">
        <w:rPr>
          <w:rFonts w:ascii="Calibri" w:eastAsia="Calibri" w:hAnsi="Calibri" w:cs="Calibri"/>
          <w:b/>
          <w:bCs/>
          <w:sz w:val="24"/>
          <w:szCs w:val="24"/>
        </w:rPr>
        <w:t xml:space="preserve"> niveles más bajos </w:t>
      </w:r>
      <w:r w:rsidR="00E3559E">
        <w:rPr>
          <w:rFonts w:ascii="Calibri" w:eastAsia="Calibri" w:hAnsi="Calibri" w:cs="Calibri"/>
          <w:b/>
          <w:bCs/>
          <w:sz w:val="24"/>
          <w:szCs w:val="24"/>
        </w:rPr>
        <w:t xml:space="preserve">de acuerdo </w:t>
      </w:r>
      <w:r w:rsidR="00C032AF" w:rsidRPr="009E1411">
        <w:rPr>
          <w:rFonts w:ascii="Calibri" w:eastAsia="Calibri" w:hAnsi="Calibri" w:cs="Calibri"/>
          <w:b/>
          <w:bCs/>
          <w:sz w:val="24"/>
          <w:szCs w:val="24"/>
        </w:rPr>
        <w:t>en Países Bajos</w:t>
      </w:r>
      <w:r w:rsidR="00C032AF" w:rsidRPr="00C263CC">
        <w:rPr>
          <w:rFonts w:ascii="Calibri" w:eastAsia="Calibri" w:hAnsi="Calibri" w:cs="Calibri"/>
          <w:sz w:val="24"/>
          <w:szCs w:val="24"/>
        </w:rPr>
        <w:t xml:space="preserve"> (41%</w:t>
      </w:r>
      <w:r w:rsidR="00830071">
        <w:rPr>
          <w:rFonts w:ascii="Calibri" w:eastAsia="Calibri" w:hAnsi="Calibri" w:cs="Calibri"/>
          <w:sz w:val="24"/>
          <w:szCs w:val="24"/>
        </w:rPr>
        <w:t>)</w:t>
      </w:r>
      <w:r w:rsidR="00C032AF" w:rsidRPr="00C263CC">
        <w:rPr>
          <w:rFonts w:ascii="Calibri" w:eastAsia="Calibri" w:hAnsi="Calibri" w:cs="Calibri"/>
          <w:sz w:val="24"/>
          <w:szCs w:val="24"/>
        </w:rPr>
        <w:t xml:space="preserve">, </w:t>
      </w:r>
      <w:r w:rsidR="00C032AF" w:rsidRPr="009E1411">
        <w:rPr>
          <w:rFonts w:ascii="Calibri" w:eastAsia="Calibri" w:hAnsi="Calibri" w:cs="Calibri"/>
          <w:b/>
          <w:bCs/>
          <w:sz w:val="24"/>
          <w:szCs w:val="24"/>
        </w:rPr>
        <w:t xml:space="preserve">Suecia </w:t>
      </w:r>
      <w:r w:rsidR="00C032AF" w:rsidRPr="00C263CC">
        <w:rPr>
          <w:rFonts w:ascii="Calibri" w:eastAsia="Calibri" w:hAnsi="Calibri" w:cs="Calibri"/>
          <w:sz w:val="24"/>
          <w:szCs w:val="24"/>
        </w:rPr>
        <w:t xml:space="preserve">(43%) </w:t>
      </w:r>
      <w:r w:rsidR="00C032AF" w:rsidRPr="004A1D13">
        <w:rPr>
          <w:rFonts w:ascii="Calibri" w:eastAsia="Calibri" w:hAnsi="Calibri" w:cs="Calibri"/>
          <w:sz w:val="24"/>
          <w:szCs w:val="24"/>
        </w:rPr>
        <w:t>y</w:t>
      </w:r>
      <w:r w:rsidR="00C032AF" w:rsidRPr="009E1411">
        <w:rPr>
          <w:rFonts w:ascii="Calibri" w:eastAsia="Calibri" w:hAnsi="Calibri" w:cs="Calibri"/>
          <w:b/>
          <w:bCs/>
          <w:sz w:val="24"/>
          <w:szCs w:val="24"/>
        </w:rPr>
        <w:t xml:space="preserve"> Vietnam</w:t>
      </w:r>
      <w:r w:rsidR="00C032AF" w:rsidRPr="00C263CC">
        <w:rPr>
          <w:rFonts w:ascii="Calibri" w:eastAsia="Calibri" w:hAnsi="Calibri" w:cs="Calibri"/>
          <w:sz w:val="24"/>
          <w:szCs w:val="24"/>
        </w:rPr>
        <w:t xml:space="preserve"> (42%).</w:t>
      </w:r>
    </w:p>
    <w:p w14:paraId="16FFFE48" w14:textId="55728851" w:rsidR="00EF3B62" w:rsidRDefault="00EF3B62" w:rsidP="00183503">
      <w:pPr>
        <w:jc w:val="both"/>
        <w:rPr>
          <w:rFonts w:ascii="Calibri" w:eastAsia="Calibri" w:hAnsi="Calibri" w:cs="Calibri"/>
          <w:b/>
          <w:bCs/>
          <w:sz w:val="24"/>
          <w:szCs w:val="24"/>
        </w:rPr>
      </w:pPr>
      <w:r w:rsidRPr="00EF3B62">
        <w:rPr>
          <w:rFonts w:ascii="Calibri" w:eastAsia="Calibri" w:hAnsi="Calibri" w:cs="Calibri"/>
          <w:b/>
          <w:bCs/>
          <w:sz w:val="24"/>
          <w:szCs w:val="24"/>
        </w:rPr>
        <w:t xml:space="preserve">En América Latina, la brecha entre la intención y la acción está ampliamente extendida. </w:t>
      </w:r>
      <w:r w:rsidRPr="00EF3B62">
        <w:rPr>
          <w:rFonts w:ascii="Calibri" w:eastAsia="Calibri" w:hAnsi="Calibri" w:cs="Calibri"/>
          <w:sz w:val="24"/>
          <w:szCs w:val="24"/>
        </w:rPr>
        <w:t xml:space="preserve">En todos los países encuestados de la región, al menos 7 de cada 10 personas afirman que les gustaría adoptar un estilo de vida más sustentable, aunque reconocen dificultades para traducir esa aspiración en cambios concretos de comportamiento. </w:t>
      </w:r>
      <w:r w:rsidRPr="00EF3B62">
        <w:rPr>
          <w:rFonts w:ascii="Calibri" w:eastAsia="Calibri" w:hAnsi="Calibri" w:cs="Calibri"/>
          <w:b/>
          <w:bCs/>
          <w:sz w:val="24"/>
          <w:szCs w:val="24"/>
        </w:rPr>
        <w:t>Argentina se ubica entre los diez países con mayor nivel de acuerdo con esta afirmación (75%), junto con Ecuador, México y Colombia.</w:t>
      </w:r>
      <w:r w:rsidR="00F75117">
        <w:rPr>
          <w:rFonts w:ascii="Calibri" w:eastAsia="Calibri" w:hAnsi="Calibri" w:cs="Calibri"/>
          <w:b/>
          <w:bCs/>
          <w:sz w:val="24"/>
          <w:szCs w:val="24"/>
        </w:rPr>
        <w:t xml:space="preserve"> </w:t>
      </w:r>
      <w:r w:rsidR="00E81D68" w:rsidRPr="00E81D68">
        <w:rPr>
          <w:rFonts w:ascii="Calibri" w:eastAsia="Calibri" w:hAnsi="Calibri" w:cs="Calibri"/>
          <w:b/>
          <w:bCs/>
          <w:sz w:val="24"/>
          <w:szCs w:val="24"/>
        </w:rPr>
        <w:t>Además, en el país esta brecha aumentó 5 puntos desde 2020.</w:t>
      </w:r>
    </w:p>
    <w:p w14:paraId="0326BCD5" w14:textId="77777777" w:rsidR="00EF3B62" w:rsidRDefault="00EF3B62" w:rsidP="00183503">
      <w:pPr>
        <w:jc w:val="both"/>
        <w:rPr>
          <w:rFonts w:ascii="Calibri" w:eastAsia="Calibri" w:hAnsi="Calibri" w:cs="Calibri"/>
          <w:b/>
          <w:bCs/>
          <w:sz w:val="24"/>
          <w:szCs w:val="24"/>
        </w:rPr>
      </w:pPr>
    </w:p>
    <w:p w14:paraId="6F602CFD" w14:textId="77777777" w:rsidR="00EF3B62" w:rsidRDefault="00EF3B62" w:rsidP="00183503">
      <w:pPr>
        <w:jc w:val="both"/>
        <w:rPr>
          <w:rFonts w:ascii="Calibri" w:eastAsia="Calibri" w:hAnsi="Calibri" w:cs="Calibri"/>
          <w:b/>
          <w:bCs/>
          <w:sz w:val="24"/>
          <w:szCs w:val="24"/>
        </w:rPr>
      </w:pPr>
    </w:p>
    <w:p w14:paraId="527B5F76" w14:textId="77777777" w:rsidR="00EF3B62" w:rsidRDefault="00EF3B62" w:rsidP="00183503">
      <w:pPr>
        <w:jc w:val="both"/>
        <w:rPr>
          <w:rFonts w:ascii="Calibri" w:eastAsia="Calibri" w:hAnsi="Calibri" w:cs="Calibri"/>
          <w:b/>
          <w:bCs/>
          <w:sz w:val="24"/>
          <w:szCs w:val="24"/>
        </w:rPr>
      </w:pPr>
    </w:p>
    <w:p w14:paraId="36059536" w14:textId="77777777" w:rsidR="00EF3B62" w:rsidRDefault="00EF3B62" w:rsidP="00183503">
      <w:pPr>
        <w:jc w:val="both"/>
        <w:rPr>
          <w:rFonts w:ascii="Calibri" w:eastAsia="Calibri" w:hAnsi="Calibri" w:cs="Calibri"/>
          <w:b/>
          <w:bCs/>
          <w:sz w:val="24"/>
          <w:szCs w:val="24"/>
        </w:rPr>
      </w:pPr>
    </w:p>
    <w:p w14:paraId="41AC46A2" w14:textId="77777777" w:rsidR="00EF3B62" w:rsidRDefault="00EF3B62" w:rsidP="00183503">
      <w:pPr>
        <w:jc w:val="both"/>
        <w:rPr>
          <w:rFonts w:ascii="Calibri" w:eastAsia="Calibri" w:hAnsi="Calibri" w:cs="Calibri"/>
          <w:b/>
          <w:bCs/>
          <w:sz w:val="24"/>
          <w:szCs w:val="24"/>
        </w:rPr>
      </w:pPr>
    </w:p>
    <w:p w14:paraId="74800C08" w14:textId="77777777" w:rsidR="00EF3B62" w:rsidRDefault="00EF3B62" w:rsidP="00183503">
      <w:pPr>
        <w:jc w:val="both"/>
        <w:rPr>
          <w:rFonts w:ascii="Calibri" w:eastAsia="Calibri" w:hAnsi="Calibri" w:cs="Calibri"/>
          <w:b/>
          <w:bCs/>
          <w:sz w:val="24"/>
          <w:szCs w:val="24"/>
        </w:rPr>
      </w:pPr>
    </w:p>
    <w:p w14:paraId="58298468" w14:textId="77777777" w:rsidR="00EF3B62" w:rsidRDefault="00EF3B62" w:rsidP="00183503">
      <w:pPr>
        <w:jc w:val="both"/>
        <w:rPr>
          <w:rFonts w:ascii="Calibri" w:eastAsia="Calibri" w:hAnsi="Calibri" w:cs="Calibri"/>
          <w:b/>
          <w:bCs/>
          <w:sz w:val="24"/>
          <w:szCs w:val="24"/>
        </w:rPr>
      </w:pPr>
    </w:p>
    <w:p w14:paraId="1D67EEE5" w14:textId="77777777" w:rsidR="004A7C1F" w:rsidRDefault="004A7C1F" w:rsidP="00A7097B">
      <w:pPr>
        <w:rPr>
          <w:rFonts w:ascii="Calibri" w:eastAsia="Calibri" w:hAnsi="Calibri" w:cs="Calibri"/>
          <w:b/>
          <w:bCs/>
          <w:sz w:val="24"/>
          <w:szCs w:val="24"/>
        </w:rPr>
      </w:pPr>
    </w:p>
    <w:p w14:paraId="5620AE01" w14:textId="77777777" w:rsidR="00A7097B" w:rsidRDefault="00A7097B" w:rsidP="0020575B">
      <w:pPr>
        <w:jc w:val="center"/>
        <w:rPr>
          <w:rFonts w:ascii="Calibri" w:eastAsia="Calibri" w:hAnsi="Calibri" w:cs="Calibri"/>
          <w:b/>
          <w:bCs/>
          <w:sz w:val="24"/>
          <w:szCs w:val="24"/>
        </w:rPr>
      </w:pPr>
    </w:p>
    <w:p w14:paraId="3357CDBD" w14:textId="7D155A9D" w:rsidR="0020575B" w:rsidRDefault="0020575B" w:rsidP="000D4FEC">
      <w:pPr>
        <w:jc w:val="center"/>
        <w:rPr>
          <w:rFonts w:ascii="Calibri" w:eastAsia="Calibri" w:hAnsi="Calibri" w:cs="Calibri"/>
          <w:b/>
          <w:bCs/>
          <w:noProof/>
          <w:color w:val="CC4125"/>
          <w:sz w:val="24"/>
          <w:szCs w:val="24"/>
        </w:rPr>
      </w:pPr>
      <w:r w:rsidRPr="00FA0DB2">
        <w:rPr>
          <w:rFonts w:ascii="Calibri" w:eastAsia="Calibri" w:hAnsi="Calibri" w:cs="Calibri"/>
          <w:b/>
          <w:bCs/>
          <w:sz w:val="24"/>
          <w:szCs w:val="24"/>
        </w:rPr>
        <w:t>¿Hasta qué punto está de acuerdo o en desacuerdo con la siguient</w:t>
      </w:r>
      <w:r w:rsidR="003F5DDE">
        <w:rPr>
          <w:rFonts w:ascii="Calibri" w:eastAsia="Calibri" w:hAnsi="Calibri" w:cs="Calibri"/>
          <w:b/>
          <w:bCs/>
          <w:sz w:val="24"/>
          <w:szCs w:val="24"/>
        </w:rPr>
        <w:t>e</w:t>
      </w:r>
      <w:r w:rsidRPr="00FA0DB2">
        <w:rPr>
          <w:rFonts w:ascii="Calibri" w:eastAsia="Calibri" w:hAnsi="Calibri" w:cs="Calibri"/>
          <w:b/>
          <w:bCs/>
          <w:sz w:val="24"/>
          <w:szCs w:val="24"/>
        </w:rPr>
        <w:t xml:space="preserve"> frase?: </w:t>
      </w:r>
      <w:r w:rsidRPr="00FA0DB2">
        <w:rPr>
          <w:rFonts w:ascii="Calibri" w:eastAsia="Calibri" w:hAnsi="Calibri" w:cs="Calibri"/>
          <w:b/>
          <w:bCs/>
          <w:i/>
          <w:iCs/>
          <w:sz w:val="24"/>
          <w:szCs w:val="24"/>
        </w:rPr>
        <w:t>“Me gustaría vivir de manera más sustentable, pero muchas veces veo que no hago los cambios necesarios en mi comportamiento actual”</w:t>
      </w:r>
      <w:r w:rsidRPr="00FA0DB2">
        <w:rPr>
          <w:rFonts w:ascii="Calibri" w:eastAsia="Calibri" w:hAnsi="Calibri" w:cs="Calibri"/>
          <w:b/>
          <w:bCs/>
          <w:noProof/>
          <w:color w:val="CC4125"/>
          <w:sz w:val="24"/>
          <w:szCs w:val="24"/>
        </w:rPr>
        <w:t xml:space="preserve"> </w:t>
      </w:r>
    </w:p>
    <w:p w14:paraId="3A7299A8" w14:textId="53D2318A" w:rsidR="000D4FEC" w:rsidRPr="000D4FEC" w:rsidRDefault="000D4FEC" w:rsidP="000D4FEC">
      <w:pPr>
        <w:jc w:val="center"/>
        <w:rPr>
          <w:rFonts w:ascii="Calibri" w:eastAsia="Calibri" w:hAnsi="Calibri" w:cs="Calibri"/>
          <w:b/>
          <w:bCs/>
          <w:i/>
          <w:iCs/>
          <w:sz w:val="24"/>
          <w:szCs w:val="24"/>
        </w:rPr>
      </w:pPr>
      <w:r>
        <w:rPr>
          <w:rFonts w:ascii="Calibri" w:eastAsia="Calibri" w:hAnsi="Calibri" w:cs="Calibri"/>
          <w:b/>
          <w:bCs/>
          <w:i/>
          <w:iCs/>
          <w:noProof/>
          <w:sz w:val="24"/>
          <w:szCs w:val="24"/>
        </w:rPr>
        <w:drawing>
          <wp:inline distT="0" distB="0" distL="0" distR="0" wp14:anchorId="41C36010" wp14:editId="309C3F77">
            <wp:extent cx="5400040" cy="241300"/>
            <wp:effectExtent l="0" t="0" r="0" b="6350"/>
            <wp:docPr id="9675676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67638" name="Imagen 967567638"/>
                    <pic:cNvPicPr/>
                  </pic:nvPicPr>
                  <pic:blipFill>
                    <a:blip r:embed="rId7">
                      <a:extLst>
                        <a:ext uri="{28A0092B-C50C-407E-A947-70E740481C1C}">
                          <a14:useLocalDpi xmlns:a14="http://schemas.microsoft.com/office/drawing/2010/main" val="0"/>
                        </a:ext>
                      </a:extLst>
                    </a:blip>
                    <a:stretch>
                      <a:fillRect/>
                    </a:stretch>
                  </pic:blipFill>
                  <pic:spPr>
                    <a:xfrm>
                      <a:off x="0" y="0"/>
                      <a:ext cx="5400040" cy="241300"/>
                    </a:xfrm>
                    <a:prstGeom prst="rect">
                      <a:avLst/>
                    </a:prstGeom>
                  </pic:spPr>
                </pic:pic>
              </a:graphicData>
            </a:graphic>
          </wp:inline>
        </w:drawing>
      </w:r>
    </w:p>
    <w:p w14:paraId="266824E7" w14:textId="44F0B375" w:rsidR="0020575B" w:rsidRPr="000D4FEC" w:rsidRDefault="000D4FEC" w:rsidP="000D4FEC">
      <w:pPr>
        <w:rPr>
          <w:rFonts w:ascii="Calibri" w:eastAsia="Calibri" w:hAnsi="Calibri" w:cs="Calibri"/>
          <w:b/>
          <w:bCs/>
          <w:sz w:val="24"/>
          <w:szCs w:val="24"/>
        </w:rPr>
      </w:pPr>
      <w:r w:rsidRPr="000D4FEC">
        <w:rPr>
          <w:rFonts w:ascii="Calibri" w:eastAsia="Calibri" w:hAnsi="Calibri" w:cs="Calibri"/>
          <w:b/>
          <w:bCs/>
          <w:noProof/>
          <w:sz w:val="24"/>
          <w:szCs w:val="24"/>
        </w:rPr>
        <w:drawing>
          <wp:inline distT="0" distB="0" distL="0" distR="0" wp14:anchorId="49546C75" wp14:editId="32ECBF29">
            <wp:extent cx="5922010" cy="4589278"/>
            <wp:effectExtent l="0" t="0" r="2540" b="1905"/>
            <wp:docPr id="695649719" name="Gráfico 1">
              <a:extLst xmlns:a="http://schemas.openxmlformats.org/drawingml/2006/main">
                <a:ext uri="{FF2B5EF4-FFF2-40B4-BE49-F238E27FC236}">
                  <a16:creationId xmlns:a16="http://schemas.microsoft.com/office/drawing/2014/main" id="{8992EEC6-0D29-1340-1F6D-874461B0D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5C8A1D" w14:textId="662D657A" w:rsidR="0020575B" w:rsidRDefault="0020575B" w:rsidP="0020575B">
      <w:pPr>
        <w:jc w:val="center"/>
        <w:rPr>
          <w:rFonts w:ascii="Calibri" w:eastAsia="Calibri" w:hAnsi="Calibri" w:cs="Calibri"/>
          <w:sz w:val="24"/>
          <w:szCs w:val="24"/>
        </w:rPr>
      </w:pPr>
      <w:r w:rsidRPr="00F62CC9">
        <w:rPr>
          <w:rFonts w:ascii="Calibri" w:eastAsia="Calibri" w:hAnsi="Calibri" w:cs="Calibri"/>
          <w:i/>
          <w:iCs/>
          <w:sz w:val="20"/>
          <w:szCs w:val="20"/>
        </w:rPr>
        <w:t>Fuente WIN Voices! En Argentina</w:t>
      </w:r>
    </w:p>
    <w:p w14:paraId="6687FC5F" w14:textId="38980A90" w:rsidR="00E81D68" w:rsidRDefault="00E81D68" w:rsidP="003C2290">
      <w:pPr>
        <w:jc w:val="both"/>
        <w:rPr>
          <w:rFonts w:ascii="Calibri" w:eastAsia="Calibri" w:hAnsi="Calibri" w:cs="Calibri"/>
          <w:sz w:val="24"/>
          <w:szCs w:val="24"/>
        </w:rPr>
      </w:pPr>
    </w:p>
    <w:p w14:paraId="31C354FC" w14:textId="526C14D6" w:rsidR="004A1D13" w:rsidRDefault="00E81D68" w:rsidP="003C2290">
      <w:pPr>
        <w:jc w:val="both"/>
        <w:rPr>
          <w:rFonts w:ascii="Calibri" w:eastAsia="Calibri" w:hAnsi="Calibri" w:cs="Calibri"/>
          <w:b/>
          <w:bCs/>
          <w:sz w:val="24"/>
          <w:szCs w:val="24"/>
        </w:rPr>
      </w:pPr>
      <w:r w:rsidRPr="00E81D68">
        <w:rPr>
          <w:rFonts w:ascii="Calibri" w:eastAsia="Calibri" w:hAnsi="Calibri" w:cs="Calibri"/>
          <w:sz w:val="24"/>
          <w:szCs w:val="24"/>
        </w:rPr>
        <w:t xml:space="preserve">En definitiva, una conclusión regional en base a los resultados de la encuesta es que, </w:t>
      </w:r>
      <w:r w:rsidRPr="00E81D68">
        <w:rPr>
          <w:rFonts w:ascii="Calibri" w:eastAsia="Calibri" w:hAnsi="Calibri" w:cs="Calibri"/>
          <w:b/>
          <w:bCs/>
          <w:sz w:val="24"/>
          <w:szCs w:val="24"/>
        </w:rPr>
        <w:t xml:space="preserve">aunque los latinoamericanos confían en el impacto de las acciones individuales y declaran estar dispuestos a pagar más por productos ecológicos, la conciencia y la intención no son suficientes para impulsar cambios sostenidos en los comportamientos cotidianos. </w:t>
      </w:r>
      <w:r w:rsidRPr="00E81D68">
        <w:rPr>
          <w:rFonts w:ascii="Calibri" w:eastAsia="Calibri" w:hAnsi="Calibri" w:cs="Calibri"/>
          <w:sz w:val="24"/>
          <w:szCs w:val="24"/>
        </w:rPr>
        <w:t>Obstáculos como el costo, la falta de infraestructura</w:t>
      </w:r>
      <w:r w:rsidR="00481559">
        <w:rPr>
          <w:rFonts w:ascii="Calibri" w:eastAsia="Calibri" w:hAnsi="Calibri" w:cs="Calibri"/>
          <w:sz w:val="24"/>
          <w:szCs w:val="24"/>
        </w:rPr>
        <w:t xml:space="preserve">, </w:t>
      </w:r>
      <w:r w:rsidRPr="00E81D68">
        <w:rPr>
          <w:rFonts w:ascii="Calibri" w:eastAsia="Calibri" w:hAnsi="Calibri" w:cs="Calibri"/>
          <w:sz w:val="24"/>
          <w:szCs w:val="24"/>
        </w:rPr>
        <w:t xml:space="preserve">los hábitos arraigados </w:t>
      </w:r>
      <w:r w:rsidR="00481559">
        <w:rPr>
          <w:rFonts w:ascii="Calibri" w:eastAsia="Calibri" w:hAnsi="Calibri" w:cs="Calibri"/>
          <w:sz w:val="24"/>
          <w:szCs w:val="24"/>
        </w:rPr>
        <w:t xml:space="preserve">y el desconocimiento </w:t>
      </w:r>
      <w:r w:rsidRPr="00E81D68">
        <w:rPr>
          <w:rFonts w:ascii="Calibri" w:eastAsia="Calibri" w:hAnsi="Calibri" w:cs="Calibri"/>
          <w:sz w:val="24"/>
          <w:szCs w:val="24"/>
        </w:rPr>
        <w:t xml:space="preserve">continúan limitando la acción concreta. Por lo tanto, </w:t>
      </w:r>
      <w:r w:rsidRPr="00E81D68">
        <w:rPr>
          <w:rFonts w:ascii="Calibri" w:eastAsia="Calibri" w:hAnsi="Calibri" w:cs="Calibri"/>
          <w:b/>
          <w:bCs/>
          <w:sz w:val="24"/>
          <w:szCs w:val="24"/>
        </w:rPr>
        <w:t>el verdadero desafío actual ya no radica en generar conciencia sobre el problema, sino en facilitar que las personas puedan actuar de manera práctica, accesible y sostenible en su vida diaria.</w:t>
      </w:r>
    </w:p>
    <w:p w14:paraId="05134723" w14:textId="43110D25" w:rsidR="00904762" w:rsidRPr="00254D1C" w:rsidRDefault="00254D1C" w:rsidP="00254D1C">
      <w:pPr>
        <w:jc w:val="both"/>
        <w:rPr>
          <w:rFonts w:ascii="Calibri" w:eastAsia="Calibri" w:hAnsi="Calibri" w:cs="Calibri"/>
          <w:b/>
          <w:bCs/>
          <w:sz w:val="24"/>
          <w:szCs w:val="24"/>
        </w:rPr>
      </w:pPr>
      <w:r w:rsidRPr="00254D1C">
        <w:rPr>
          <w:rFonts w:ascii="Calibri" w:eastAsia="Calibri" w:hAnsi="Calibri" w:cs="Calibri"/>
          <w:sz w:val="24"/>
          <w:szCs w:val="24"/>
        </w:rPr>
        <w:lastRenderedPageBreak/>
        <w:t>Señala Constanza Cilley, responsable del estudio</w:t>
      </w:r>
      <w:r>
        <w:rPr>
          <w:rFonts w:ascii="Calibri" w:eastAsia="Calibri" w:hAnsi="Calibri" w:cs="Calibri"/>
          <w:b/>
          <w:bCs/>
          <w:sz w:val="24"/>
          <w:szCs w:val="24"/>
        </w:rPr>
        <w:t xml:space="preserve">: </w:t>
      </w:r>
      <w:r w:rsidRPr="00254D1C">
        <w:rPr>
          <w:rFonts w:ascii="Calibri" w:eastAsia="Calibri" w:hAnsi="Calibri" w:cs="Calibri"/>
          <w:b/>
          <w:bCs/>
          <w:sz w:val="24"/>
          <w:szCs w:val="24"/>
        </w:rPr>
        <w:t>“</w:t>
      </w:r>
      <w:r w:rsidRPr="003F5DDE">
        <w:rPr>
          <w:rFonts w:ascii="Calibri" w:eastAsia="Calibri" w:hAnsi="Calibri" w:cs="Calibri"/>
          <w:b/>
          <w:bCs/>
          <w:sz w:val="24"/>
          <w:szCs w:val="24"/>
        </w:rPr>
        <w:t>Los argentinos no parecen sentirse impotentes frente al problema. Por el contrario, creen que sus acciones pueden generar impacto. Sin embargo, la mayoría reconoce que no logra sostener cambios consistentes en su vida cotidiana”</w:t>
      </w:r>
    </w:p>
    <w:p w14:paraId="42F61012" w14:textId="77777777" w:rsidR="004A7C1F" w:rsidRDefault="004A7C1F" w:rsidP="009A4F61">
      <w:pPr>
        <w:rPr>
          <w:rFonts w:ascii="Calibri" w:eastAsia="Calibri" w:hAnsi="Calibri" w:cs="Calibri"/>
          <w:sz w:val="24"/>
          <w:szCs w:val="24"/>
        </w:rPr>
      </w:pPr>
    </w:p>
    <w:p w14:paraId="4541DCFF" w14:textId="75DAB9B1" w:rsidR="003614A2" w:rsidRDefault="00904762" w:rsidP="003614A2">
      <w:pPr>
        <w:jc w:val="center"/>
        <w:rPr>
          <w:rFonts w:ascii="Calibri" w:eastAsia="Calibri" w:hAnsi="Calibri" w:cs="Calibri"/>
          <w:sz w:val="24"/>
          <w:szCs w:val="24"/>
        </w:rPr>
      </w:pPr>
      <w:r w:rsidRPr="00904762">
        <w:rPr>
          <w:rFonts w:ascii="Calibri" w:eastAsia="Calibri" w:hAnsi="Calibri" w:cs="Calibri"/>
          <w:sz w:val="24"/>
          <w:szCs w:val="24"/>
        </w:rPr>
        <w:t>Tendencias de opinión en Argentina sobre frases vinculadas al medioambiente</w:t>
      </w:r>
    </w:p>
    <w:tbl>
      <w:tblPr>
        <w:tblW w:w="8659" w:type="dxa"/>
        <w:tblCellMar>
          <w:left w:w="70" w:type="dxa"/>
          <w:right w:w="70" w:type="dxa"/>
        </w:tblCellMar>
        <w:tblLook w:val="04A0" w:firstRow="1" w:lastRow="0" w:firstColumn="1" w:lastColumn="0" w:noHBand="0" w:noVBand="1"/>
      </w:tblPr>
      <w:tblGrid>
        <w:gridCol w:w="4728"/>
        <w:gridCol w:w="1558"/>
        <w:gridCol w:w="1546"/>
        <w:gridCol w:w="827"/>
      </w:tblGrid>
      <w:tr w:rsidR="003614A2" w:rsidRPr="00904762" w14:paraId="28351950" w14:textId="77777777" w:rsidTr="003614A2">
        <w:trPr>
          <w:trHeight w:val="511"/>
        </w:trPr>
        <w:tc>
          <w:tcPr>
            <w:tcW w:w="4728" w:type="dxa"/>
            <w:tcBorders>
              <w:top w:val="single" w:sz="4" w:space="0" w:color="D0D7D5"/>
              <w:left w:val="single" w:sz="4" w:space="0" w:color="D0D7D5"/>
              <w:bottom w:val="single" w:sz="4" w:space="0" w:color="D0D7D5"/>
              <w:right w:val="single" w:sz="4" w:space="0" w:color="D0D7D5"/>
            </w:tcBorders>
            <w:shd w:val="clear" w:color="1E4A38" w:fill="1E4A38"/>
            <w:vAlign w:val="center"/>
            <w:hideMark/>
          </w:tcPr>
          <w:p w14:paraId="7165C233" w14:textId="77777777" w:rsidR="003614A2" w:rsidRPr="00904762" w:rsidRDefault="003614A2" w:rsidP="00D30DED">
            <w:pPr>
              <w:spacing w:after="0" w:line="240" w:lineRule="auto"/>
              <w:jc w:val="center"/>
              <w:rPr>
                <w:rFonts w:ascii="Calibri" w:eastAsia="Times New Roman" w:hAnsi="Calibri" w:cs="Calibri"/>
                <w:b/>
                <w:bCs/>
                <w:color w:val="FFFFFF"/>
                <w:kern w:val="0"/>
                <w:lang w:eastAsia="es-AR"/>
                <w14:ligatures w14:val="none"/>
              </w:rPr>
            </w:pPr>
            <w:r w:rsidRPr="00904762">
              <w:rPr>
                <w:rFonts w:ascii="Calibri" w:eastAsia="Times New Roman" w:hAnsi="Calibri" w:cs="Calibri"/>
                <w:b/>
                <w:bCs/>
                <w:color w:val="FFFFFF"/>
                <w:kern w:val="0"/>
                <w:lang w:eastAsia="es-AR"/>
                <w14:ligatures w14:val="none"/>
              </w:rPr>
              <w:t xml:space="preserve">Frases </w:t>
            </w:r>
          </w:p>
        </w:tc>
        <w:tc>
          <w:tcPr>
            <w:tcW w:w="1558" w:type="dxa"/>
            <w:tcBorders>
              <w:top w:val="single" w:sz="4" w:space="0" w:color="D0D7D5"/>
              <w:left w:val="nil"/>
              <w:bottom w:val="single" w:sz="4" w:space="0" w:color="D0D7D5"/>
              <w:right w:val="single" w:sz="4" w:space="0" w:color="D0D7D5"/>
            </w:tcBorders>
            <w:shd w:val="clear" w:color="1E4A38" w:fill="1E4A38"/>
            <w:vAlign w:val="center"/>
            <w:hideMark/>
          </w:tcPr>
          <w:p w14:paraId="67D815F6" w14:textId="77777777" w:rsidR="003614A2" w:rsidRPr="00904762" w:rsidRDefault="003614A2" w:rsidP="00D30DED">
            <w:pPr>
              <w:spacing w:after="0" w:line="240" w:lineRule="auto"/>
              <w:jc w:val="center"/>
              <w:rPr>
                <w:rFonts w:ascii="Calibri" w:eastAsia="Times New Roman" w:hAnsi="Calibri" w:cs="Calibri"/>
                <w:b/>
                <w:bCs/>
                <w:color w:val="FFFFFF"/>
                <w:kern w:val="0"/>
                <w:lang w:eastAsia="es-AR"/>
                <w14:ligatures w14:val="none"/>
              </w:rPr>
            </w:pPr>
            <w:r w:rsidRPr="00904762">
              <w:rPr>
                <w:rFonts w:ascii="Calibri" w:eastAsia="Times New Roman" w:hAnsi="Calibri" w:cs="Calibri"/>
                <w:b/>
                <w:bCs/>
                <w:color w:val="FFFFFF"/>
                <w:kern w:val="0"/>
                <w:lang w:eastAsia="es-AR"/>
                <w14:ligatures w14:val="none"/>
              </w:rPr>
              <w:t>Respuesta</w:t>
            </w:r>
          </w:p>
        </w:tc>
        <w:tc>
          <w:tcPr>
            <w:tcW w:w="1546" w:type="dxa"/>
            <w:tcBorders>
              <w:top w:val="single" w:sz="4" w:space="0" w:color="D0D7D5"/>
              <w:left w:val="nil"/>
              <w:bottom w:val="single" w:sz="4" w:space="0" w:color="D0D7D5"/>
              <w:right w:val="single" w:sz="4" w:space="0" w:color="D0D7D5"/>
            </w:tcBorders>
            <w:shd w:val="clear" w:color="1E4A38" w:fill="1E4A38"/>
            <w:vAlign w:val="center"/>
            <w:hideMark/>
          </w:tcPr>
          <w:p w14:paraId="67CF6CE2" w14:textId="77777777" w:rsidR="003614A2" w:rsidRPr="00904762" w:rsidRDefault="003614A2" w:rsidP="00D30DED">
            <w:pPr>
              <w:spacing w:after="0" w:line="240" w:lineRule="auto"/>
              <w:jc w:val="center"/>
              <w:rPr>
                <w:rFonts w:ascii="Calibri" w:eastAsia="Times New Roman" w:hAnsi="Calibri" w:cs="Calibri"/>
                <w:b/>
                <w:bCs/>
                <w:color w:val="FFFFFF"/>
                <w:kern w:val="0"/>
                <w:lang w:eastAsia="es-AR"/>
                <w14:ligatures w14:val="none"/>
              </w:rPr>
            </w:pPr>
            <w:r w:rsidRPr="00904762">
              <w:rPr>
                <w:rFonts w:ascii="Calibri" w:eastAsia="Times New Roman" w:hAnsi="Calibri" w:cs="Calibri"/>
                <w:b/>
                <w:bCs/>
                <w:color w:val="FFFFFF"/>
                <w:kern w:val="0"/>
                <w:lang w:eastAsia="es-AR"/>
                <w14:ligatures w14:val="none"/>
              </w:rPr>
              <w:t>2020/2021</w:t>
            </w:r>
          </w:p>
        </w:tc>
        <w:tc>
          <w:tcPr>
            <w:tcW w:w="827" w:type="dxa"/>
            <w:tcBorders>
              <w:top w:val="single" w:sz="4" w:space="0" w:color="D0D7D5"/>
              <w:left w:val="nil"/>
              <w:bottom w:val="single" w:sz="4" w:space="0" w:color="D0D7D5"/>
              <w:right w:val="single" w:sz="4" w:space="0" w:color="D0D7D5"/>
            </w:tcBorders>
            <w:shd w:val="clear" w:color="1E4A38" w:fill="1E4A38"/>
            <w:vAlign w:val="center"/>
            <w:hideMark/>
          </w:tcPr>
          <w:p w14:paraId="1B91173C" w14:textId="77777777" w:rsidR="003614A2" w:rsidRPr="00904762" w:rsidRDefault="003614A2" w:rsidP="00D30DED">
            <w:pPr>
              <w:spacing w:after="0" w:line="240" w:lineRule="auto"/>
              <w:jc w:val="center"/>
              <w:rPr>
                <w:rFonts w:ascii="Calibri" w:eastAsia="Times New Roman" w:hAnsi="Calibri" w:cs="Calibri"/>
                <w:b/>
                <w:bCs/>
                <w:color w:val="FFFFFF"/>
                <w:kern w:val="0"/>
                <w:lang w:eastAsia="es-AR"/>
                <w14:ligatures w14:val="none"/>
              </w:rPr>
            </w:pPr>
            <w:r w:rsidRPr="00904762">
              <w:rPr>
                <w:rFonts w:ascii="Calibri" w:eastAsia="Times New Roman" w:hAnsi="Calibri" w:cs="Calibri"/>
                <w:b/>
                <w:bCs/>
                <w:color w:val="FFFFFF"/>
                <w:kern w:val="0"/>
                <w:lang w:eastAsia="es-AR"/>
                <w14:ligatures w14:val="none"/>
              </w:rPr>
              <w:t>2026</w:t>
            </w:r>
          </w:p>
        </w:tc>
      </w:tr>
      <w:tr w:rsidR="003614A2" w:rsidRPr="00904762" w14:paraId="5E913387" w14:textId="77777777" w:rsidTr="003614A2">
        <w:trPr>
          <w:trHeight w:val="173"/>
        </w:trPr>
        <w:tc>
          <w:tcPr>
            <w:tcW w:w="4728" w:type="dxa"/>
            <w:vMerge w:val="restart"/>
            <w:tcBorders>
              <w:top w:val="nil"/>
              <w:left w:val="single" w:sz="4" w:space="0" w:color="D0D7D5"/>
              <w:bottom w:val="single" w:sz="4" w:space="0" w:color="D0D7D5"/>
              <w:right w:val="single" w:sz="4" w:space="0" w:color="D0D7D5"/>
            </w:tcBorders>
            <w:shd w:val="clear" w:color="F7FAF8" w:fill="F7FAF8"/>
            <w:vAlign w:val="center"/>
            <w:hideMark/>
          </w:tcPr>
          <w:p w14:paraId="1818D49A"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El calentamiento global es una amenaza seria para la humanidad</w:t>
            </w:r>
          </w:p>
        </w:tc>
        <w:tc>
          <w:tcPr>
            <w:tcW w:w="1558" w:type="dxa"/>
            <w:tcBorders>
              <w:top w:val="nil"/>
              <w:left w:val="nil"/>
              <w:bottom w:val="single" w:sz="4" w:space="0" w:color="D0D7D5"/>
              <w:right w:val="single" w:sz="4" w:space="0" w:color="D0D7D5"/>
            </w:tcBorders>
            <w:shd w:val="clear" w:color="F7FAF8" w:fill="F7FAF8"/>
            <w:noWrap/>
            <w:vAlign w:val="center"/>
            <w:hideMark/>
          </w:tcPr>
          <w:p w14:paraId="0BA0D6D0" w14:textId="330D9910"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345DAC40"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90%</w:t>
            </w:r>
          </w:p>
        </w:tc>
        <w:tc>
          <w:tcPr>
            <w:tcW w:w="827" w:type="dxa"/>
            <w:tcBorders>
              <w:top w:val="nil"/>
              <w:left w:val="nil"/>
              <w:bottom w:val="single" w:sz="4" w:space="0" w:color="D0D7D5"/>
              <w:right w:val="single" w:sz="4" w:space="0" w:color="D0D7D5"/>
            </w:tcBorders>
            <w:shd w:val="clear" w:color="F7FAF8" w:fill="F7FAF8"/>
            <w:noWrap/>
            <w:vAlign w:val="center"/>
            <w:hideMark/>
          </w:tcPr>
          <w:p w14:paraId="08A5E00E"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84%</w:t>
            </w:r>
          </w:p>
        </w:tc>
      </w:tr>
      <w:tr w:rsidR="003614A2" w:rsidRPr="00904762" w14:paraId="2D82449E" w14:textId="77777777" w:rsidTr="003614A2">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0372B5F6"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7FAF8" w:fill="F7FAF8"/>
            <w:noWrap/>
            <w:vAlign w:val="center"/>
            <w:hideMark/>
          </w:tcPr>
          <w:p w14:paraId="62BB51C4" w14:textId="4DB0120A"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473CBD45"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5%</w:t>
            </w:r>
          </w:p>
        </w:tc>
        <w:tc>
          <w:tcPr>
            <w:tcW w:w="827" w:type="dxa"/>
            <w:tcBorders>
              <w:top w:val="nil"/>
              <w:left w:val="nil"/>
              <w:bottom w:val="single" w:sz="4" w:space="0" w:color="D0D7D5"/>
              <w:right w:val="single" w:sz="4" w:space="0" w:color="D0D7D5"/>
            </w:tcBorders>
            <w:shd w:val="clear" w:color="F7FAF8" w:fill="F7FAF8"/>
            <w:noWrap/>
            <w:vAlign w:val="center"/>
            <w:hideMark/>
          </w:tcPr>
          <w:p w14:paraId="0035DD95"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11%</w:t>
            </w:r>
          </w:p>
        </w:tc>
      </w:tr>
      <w:tr w:rsidR="003614A2" w:rsidRPr="00904762" w14:paraId="7E25284A" w14:textId="77777777" w:rsidTr="003614A2">
        <w:trPr>
          <w:trHeight w:val="232"/>
        </w:trPr>
        <w:tc>
          <w:tcPr>
            <w:tcW w:w="4728" w:type="dxa"/>
            <w:vMerge w:val="restart"/>
            <w:tcBorders>
              <w:top w:val="nil"/>
              <w:left w:val="single" w:sz="4" w:space="0" w:color="D0D7D5"/>
              <w:bottom w:val="single" w:sz="4" w:space="0" w:color="D0D7D5"/>
              <w:right w:val="single" w:sz="4" w:space="0" w:color="D0D7D5"/>
            </w:tcBorders>
            <w:shd w:val="clear" w:color="FFFFFF" w:fill="FFFFFF"/>
            <w:vAlign w:val="center"/>
            <w:hideMark/>
          </w:tcPr>
          <w:p w14:paraId="798F30AC"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Ya es demasiado tarde para frenar el cambio climático</w:t>
            </w:r>
          </w:p>
        </w:tc>
        <w:tc>
          <w:tcPr>
            <w:tcW w:w="1558" w:type="dxa"/>
            <w:tcBorders>
              <w:top w:val="nil"/>
              <w:left w:val="nil"/>
              <w:bottom w:val="single" w:sz="4" w:space="0" w:color="D0D7D5"/>
              <w:right w:val="single" w:sz="4" w:space="0" w:color="D0D7D5"/>
            </w:tcBorders>
            <w:shd w:val="clear" w:color="FFFFFF" w:fill="FFFFFF"/>
            <w:noWrap/>
            <w:vAlign w:val="center"/>
            <w:hideMark/>
          </w:tcPr>
          <w:p w14:paraId="054B2575" w14:textId="6306298A"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2EE8AD6E"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44%</w:t>
            </w:r>
          </w:p>
        </w:tc>
        <w:tc>
          <w:tcPr>
            <w:tcW w:w="827" w:type="dxa"/>
            <w:tcBorders>
              <w:top w:val="nil"/>
              <w:left w:val="nil"/>
              <w:bottom w:val="single" w:sz="4" w:space="0" w:color="D0D7D5"/>
              <w:right w:val="single" w:sz="4" w:space="0" w:color="D0D7D5"/>
            </w:tcBorders>
            <w:shd w:val="clear" w:color="FFFFFF" w:fill="FFFFFF"/>
            <w:noWrap/>
            <w:vAlign w:val="center"/>
            <w:hideMark/>
          </w:tcPr>
          <w:p w14:paraId="2F522A15"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48%</w:t>
            </w:r>
          </w:p>
        </w:tc>
      </w:tr>
      <w:tr w:rsidR="003614A2" w:rsidRPr="00904762" w14:paraId="6824EAD4" w14:textId="77777777" w:rsidTr="003614A2">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728795B7"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FFFFF" w:fill="FFFFFF"/>
            <w:noWrap/>
            <w:vAlign w:val="center"/>
            <w:hideMark/>
          </w:tcPr>
          <w:p w14:paraId="568790FB" w14:textId="6E674A83"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29D1BEA2"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45%</w:t>
            </w:r>
          </w:p>
        </w:tc>
        <w:tc>
          <w:tcPr>
            <w:tcW w:w="827" w:type="dxa"/>
            <w:tcBorders>
              <w:top w:val="nil"/>
              <w:left w:val="nil"/>
              <w:bottom w:val="single" w:sz="4" w:space="0" w:color="D0D7D5"/>
              <w:right w:val="single" w:sz="4" w:space="0" w:color="D0D7D5"/>
            </w:tcBorders>
            <w:shd w:val="clear" w:color="FFFFFF" w:fill="FFFFFF"/>
            <w:noWrap/>
            <w:vAlign w:val="center"/>
            <w:hideMark/>
          </w:tcPr>
          <w:p w14:paraId="6E8B1155"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44%</w:t>
            </w:r>
          </w:p>
        </w:tc>
      </w:tr>
      <w:tr w:rsidR="003614A2" w:rsidRPr="00904762" w14:paraId="2D558AE2" w14:textId="77777777" w:rsidTr="003614A2">
        <w:trPr>
          <w:trHeight w:val="232"/>
        </w:trPr>
        <w:tc>
          <w:tcPr>
            <w:tcW w:w="4728" w:type="dxa"/>
            <w:vMerge w:val="restart"/>
            <w:tcBorders>
              <w:top w:val="nil"/>
              <w:left w:val="single" w:sz="4" w:space="0" w:color="D0D7D5"/>
              <w:bottom w:val="single" w:sz="4" w:space="0" w:color="D0D7D5"/>
              <w:right w:val="single" w:sz="4" w:space="0" w:color="D0D7D5"/>
            </w:tcBorders>
            <w:shd w:val="clear" w:color="F7FAF8" w:fill="F7FAF8"/>
            <w:vAlign w:val="center"/>
            <w:hideMark/>
          </w:tcPr>
          <w:p w14:paraId="6B51B815"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Creo que mis acciones personales pueden mejorar el medioambiente</w:t>
            </w:r>
          </w:p>
        </w:tc>
        <w:tc>
          <w:tcPr>
            <w:tcW w:w="1558" w:type="dxa"/>
            <w:tcBorders>
              <w:top w:val="nil"/>
              <w:left w:val="nil"/>
              <w:bottom w:val="single" w:sz="4" w:space="0" w:color="D0D7D5"/>
              <w:right w:val="single" w:sz="4" w:space="0" w:color="D0D7D5"/>
            </w:tcBorders>
            <w:shd w:val="clear" w:color="F7FAF8" w:fill="F7FAF8"/>
            <w:noWrap/>
            <w:vAlign w:val="center"/>
            <w:hideMark/>
          </w:tcPr>
          <w:p w14:paraId="390FDB24" w14:textId="4DF3F16C"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3056C1EE"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84%</w:t>
            </w:r>
          </w:p>
        </w:tc>
        <w:tc>
          <w:tcPr>
            <w:tcW w:w="827" w:type="dxa"/>
            <w:tcBorders>
              <w:top w:val="nil"/>
              <w:left w:val="nil"/>
              <w:bottom w:val="single" w:sz="4" w:space="0" w:color="D0D7D5"/>
              <w:right w:val="single" w:sz="4" w:space="0" w:color="D0D7D5"/>
            </w:tcBorders>
            <w:shd w:val="clear" w:color="F7FAF8" w:fill="F7FAF8"/>
            <w:noWrap/>
            <w:vAlign w:val="center"/>
            <w:hideMark/>
          </w:tcPr>
          <w:p w14:paraId="0B5A96BD"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84%</w:t>
            </w:r>
          </w:p>
        </w:tc>
      </w:tr>
      <w:tr w:rsidR="003614A2" w:rsidRPr="00904762" w14:paraId="494E82FD" w14:textId="77777777" w:rsidTr="003614A2">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45BDB8BF"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7FAF8" w:fill="F7FAF8"/>
            <w:noWrap/>
            <w:vAlign w:val="center"/>
            <w:hideMark/>
          </w:tcPr>
          <w:p w14:paraId="1A655D84" w14:textId="6A0879AC"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3DC15A88"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w:t>
            </w:r>
          </w:p>
        </w:tc>
        <w:tc>
          <w:tcPr>
            <w:tcW w:w="827" w:type="dxa"/>
            <w:tcBorders>
              <w:top w:val="nil"/>
              <w:left w:val="nil"/>
              <w:bottom w:val="single" w:sz="4" w:space="0" w:color="D0D7D5"/>
              <w:right w:val="single" w:sz="4" w:space="0" w:color="D0D7D5"/>
            </w:tcBorders>
            <w:shd w:val="clear" w:color="F7FAF8" w:fill="F7FAF8"/>
            <w:noWrap/>
            <w:vAlign w:val="center"/>
            <w:hideMark/>
          </w:tcPr>
          <w:p w14:paraId="3DBAFB7B"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12%</w:t>
            </w:r>
          </w:p>
        </w:tc>
      </w:tr>
      <w:tr w:rsidR="003614A2" w:rsidRPr="00904762" w14:paraId="62F900BE" w14:textId="77777777" w:rsidTr="003614A2">
        <w:trPr>
          <w:trHeight w:val="302"/>
        </w:trPr>
        <w:tc>
          <w:tcPr>
            <w:tcW w:w="4728" w:type="dxa"/>
            <w:vMerge w:val="restart"/>
            <w:tcBorders>
              <w:top w:val="nil"/>
              <w:left w:val="single" w:sz="4" w:space="0" w:color="D0D7D5"/>
              <w:bottom w:val="single" w:sz="4" w:space="0" w:color="D0D7D5"/>
              <w:right w:val="single" w:sz="4" w:space="0" w:color="D0D7D5"/>
            </w:tcBorders>
            <w:shd w:val="clear" w:color="FFFFFF" w:fill="FFFFFF"/>
            <w:vAlign w:val="center"/>
            <w:hideMark/>
          </w:tcPr>
          <w:p w14:paraId="6403ED90"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Me gustaría vivir de manera más sustentable, pero muchas veces veo que no hago los cambios necesarios en mi comportamiento actual</w:t>
            </w:r>
          </w:p>
        </w:tc>
        <w:tc>
          <w:tcPr>
            <w:tcW w:w="1558" w:type="dxa"/>
            <w:tcBorders>
              <w:top w:val="nil"/>
              <w:left w:val="nil"/>
              <w:bottom w:val="single" w:sz="4" w:space="0" w:color="D0D7D5"/>
              <w:right w:val="single" w:sz="4" w:space="0" w:color="D0D7D5"/>
            </w:tcBorders>
            <w:shd w:val="clear" w:color="FFFFFF" w:fill="FFFFFF"/>
            <w:noWrap/>
            <w:vAlign w:val="center"/>
            <w:hideMark/>
          </w:tcPr>
          <w:p w14:paraId="05BD9C5C" w14:textId="7ABC0576"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5624303D"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70%</w:t>
            </w:r>
          </w:p>
        </w:tc>
        <w:tc>
          <w:tcPr>
            <w:tcW w:w="827" w:type="dxa"/>
            <w:tcBorders>
              <w:top w:val="nil"/>
              <w:left w:val="nil"/>
              <w:bottom w:val="single" w:sz="4" w:space="0" w:color="D0D7D5"/>
              <w:right w:val="single" w:sz="4" w:space="0" w:color="D0D7D5"/>
            </w:tcBorders>
            <w:shd w:val="clear" w:color="FFFFFF" w:fill="FFFFFF"/>
            <w:noWrap/>
            <w:vAlign w:val="center"/>
            <w:hideMark/>
          </w:tcPr>
          <w:p w14:paraId="455B848D"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75%</w:t>
            </w:r>
          </w:p>
        </w:tc>
      </w:tr>
      <w:tr w:rsidR="003614A2" w:rsidRPr="00904762" w14:paraId="1886B4BD" w14:textId="77777777" w:rsidTr="003614A2">
        <w:trPr>
          <w:trHeight w:val="255"/>
        </w:trPr>
        <w:tc>
          <w:tcPr>
            <w:tcW w:w="4728" w:type="dxa"/>
            <w:vMerge/>
            <w:tcBorders>
              <w:top w:val="nil"/>
              <w:left w:val="single" w:sz="4" w:space="0" w:color="D0D7D5"/>
              <w:bottom w:val="single" w:sz="4" w:space="0" w:color="D0D7D5"/>
              <w:right w:val="single" w:sz="4" w:space="0" w:color="D0D7D5"/>
            </w:tcBorders>
            <w:vAlign w:val="center"/>
            <w:hideMark/>
          </w:tcPr>
          <w:p w14:paraId="059E6BF8"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FFFFF" w:fill="FFFFFF"/>
            <w:noWrap/>
            <w:vAlign w:val="center"/>
            <w:hideMark/>
          </w:tcPr>
          <w:p w14:paraId="29A0AEA2" w14:textId="1516A9A4"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145856C5"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27%</w:t>
            </w:r>
          </w:p>
        </w:tc>
        <w:tc>
          <w:tcPr>
            <w:tcW w:w="827" w:type="dxa"/>
            <w:tcBorders>
              <w:top w:val="nil"/>
              <w:left w:val="nil"/>
              <w:bottom w:val="single" w:sz="4" w:space="0" w:color="D0D7D5"/>
              <w:right w:val="single" w:sz="4" w:space="0" w:color="D0D7D5"/>
            </w:tcBorders>
            <w:shd w:val="clear" w:color="FFFFFF" w:fill="FFFFFF"/>
            <w:noWrap/>
            <w:vAlign w:val="center"/>
            <w:hideMark/>
          </w:tcPr>
          <w:p w14:paraId="1C0575D9"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19%</w:t>
            </w:r>
          </w:p>
        </w:tc>
      </w:tr>
      <w:tr w:rsidR="003614A2" w:rsidRPr="00904762" w14:paraId="47F20E25" w14:textId="77777777" w:rsidTr="003F5DDE">
        <w:trPr>
          <w:trHeight w:val="549"/>
        </w:trPr>
        <w:tc>
          <w:tcPr>
            <w:tcW w:w="4728" w:type="dxa"/>
            <w:vMerge w:val="restart"/>
            <w:tcBorders>
              <w:top w:val="nil"/>
              <w:left w:val="single" w:sz="4" w:space="0" w:color="D0D7D5"/>
              <w:bottom w:val="single" w:sz="4" w:space="0" w:color="D0D7D5"/>
              <w:right w:val="single" w:sz="4" w:space="0" w:color="D0D7D5"/>
            </w:tcBorders>
            <w:shd w:val="clear" w:color="F7FAF8" w:fill="F7FAF8"/>
            <w:vAlign w:val="center"/>
            <w:hideMark/>
          </w:tcPr>
          <w:p w14:paraId="02D08544"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Los verdaderos esfuerzos en torno a la sustentabilidad y medio ambiente deben ser asumidos por las empresas y el gobierno, en lugar de los individuos</w:t>
            </w:r>
          </w:p>
        </w:tc>
        <w:tc>
          <w:tcPr>
            <w:tcW w:w="1558" w:type="dxa"/>
            <w:tcBorders>
              <w:top w:val="nil"/>
              <w:left w:val="nil"/>
              <w:bottom w:val="single" w:sz="4" w:space="0" w:color="D0D7D5"/>
              <w:right w:val="single" w:sz="4" w:space="0" w:color="D0D7D5"/>
            </w:tcBorders>
            <w:shd w:val="clear" w:color="F7FAF8" w:fill="F7FAF8"/>
            <w:noWrap/>
            <w:vAlign w:val="center"/>
            <w:hideMark/>
          </w:tcPr>
          <w:p w14:paraId="14952393" w14:textId="0BEE4B3F"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388275C7"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77%</w:t>
            </w:r>
          </w:p>
        </w:tc>
        <w:tc>
          <w:tcPr>
            <w:tcW w:w="827" w:type="dxa"/>
            <w:tcBorders>
              <w:top w:val="nil"/>
              <w:left w:val="nil"/>
              <w:bottom w:val="single" w:sz="4" w:space="0" w:color="D0D7D5"/>
              <w:right w:val="single" w:sz="4" w:space="0" w:color="D0D7D5"/>
            </w:tcBorders>
            <w:shd w:val="clear" w:color="F7FAF8" w:fill="F7FAF8"/>
            <w:noWrap/>
            <w:vAlign w:val="center"/>
            <w:hideMark/>
          </w:tcPr>
          <w:p w14:paraId="7FED26AF"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70%</w:t>
            </w:r>
          </w:p>
        </w:tc>
      </w:tr>
      <w:tr w:rsidR="003614A2" w:rsidRPr="00904762" w14:paraId="10598349" w14:textId="77777777" w:rsidTr="003614A2">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2C1583F9"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7FAF8" w:fill="F7FAF8"/>
            <w:noWrap/>
            <w:vAlign w:val="center"/>
            <w:hideMark/>
          </w:tcPr>
          <w:p w14:paraId="5074BBD3" w14:textId="60824EE8"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shd w:val="clear" w:color="F7FAF8" w:fill="F7FAF8"/>
            <w:noWrap/>
            <w:vAlign w:val="center"/>
            <w:hideMark/>
          </w:tcPr>
          <w:p w14:paraId="29567BB9"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14%</w:t>
            </w:r>
          </w:p>
        </w:tc>
        <w:tc>
          <w:tcPr>
            <w:tcW w:w="827" w:type="dxa"/>
            <w:tcBorders>
              <w:top w:val="nil"/>
              <w:left w:val="nil"/>
              <w:bottom w:val="single" w:sz="4" w:space="0" w:color="D0D7D5"/>
              <w:right w:val="single" w:sz="4" w:space="0" w:color="D0D7D5"/>
            </w:tcBorders>
            <w:shd w:val="clear" w:color="F7FAF8" w:fill="F7FAF8"/>
            <w:noWrap/>
            <w:vAlign w:val="center"/>
            <w:hideMark/>
          </w:tcPr>
          <w:p w14:paraId="75D53B86"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24%</w:t>
            </w:r>
          </w:p>
        </w:tc>
      </w:tr>
      <w:tr w:rsidR="003614A2" w:rsidRPr="00904762" w14:paraId="061FC55A" w14:textId="77777777" w:rsidTr="003F5DDE">
        <w:trPr>
          <w:trHeight w:val="480"/>
        </w:trPr>
        <w:tc>
          <w:tcPr>
            <w:tcW w:w="4728" w:type="dxa"/>
            <w:vMerge w:val="restart"/>
            <w:tcBorders>
              <w:top w:val="nil"/>
              <w:left w:val="single" w:sz="4" w:space="0" w:color="D0D7D5"/>
              <w:bottom w:val="single" w:sz="4" w:space="0" w:color="D0D7D5"/>
              <w:right w:val="single" w:sz="4" w:space="0" w:color="D0D7D5"/>
            </w:tcBorders>
            <w:shd w:val="clear" w:color="FFFFFF" w:fill="FFFFFF"/>
            <w:vAlign w:val="center"/>
            <w:hideMark/>
          </w:tcPr>
          <w:p w14:paraId="550E47E2"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Las catástrofes naturales (incendios forestales, inundaciones, huracanes, tifones, etc.) han aumentado debido al calentamiento global</w:t>
            </w:r>
          </w:p>
        </w:tc>
        <w:tc>
          <w:tcPr>
            <w:tcW w:w="1558" w:type="dxa"/>
            <w:tcBorders>
              <w:top w:val="nil"/>
              <w:left w:val="nil"/>
              <w:bottom w:val="single" w:sz="4" w:space="0" w:color="D0D7D5"/>
              <w:right w:val="single" w:sz="4" w:space="0" w:color="D0D7D5"/>
            </w:tcBorders>
            <w:shd w:val="clear" w:color="FFFFFF" w:fill="FFFFFF"/>
            <w:noWrap/>
            <w:vAlign w:val="center"/>
            <w:hideMark/>
          </w:tcPr>
          <w:p w14:paraId="1FE88411" w14:textId="2103110E"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361F4749"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82%</w:t>
            </w:r>
          </w:p>
        </w:tc>
        <w:tc>
          <w:tcPr>
            <w:tcW w:w="827" w:type="dxa"/>
            <w:tcBorders>
              <w:top w:val="nil"/>
              <w:left w:val="nil"/>
              <w:bottom w:val="single" w:sz="4" w:space="0" w:color="D0D7D5"/>
              <w:right w:val="single" w:sz="4" w:space="0" w:color="D0D7D5"/>
            </w:tcBorders>
            <w:shd w:val="clear" w:color="FFFFFF" w:fill="FFFFFF"/>
            <w:noWrap/>
            <w:vAlign w:val="center"/>
            <w:hideMark/>
          </w:tcPr>
          <w:p w14:paraId="68FE7D74"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80%</w:t>
            </w:r>
          </w:p>
        </w:tc>
      </w:tr>
      <w:tr w:rsidR="003614A2" w:rsidRPr="00904762" w14:paraId="4FFAED08" w14:textId="77777777" w:rsidTr="003F5DDE">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0BE2CAFD"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noWrap/>
            <w:vAlign w:val="center"/>
            <w:hideMark/>
          </w:tcPr>
          <w:p w14:paraId="169215B8" w14:textId="7BB95EC3" w:rsidR="003614A2" w:rsidRPr="003F5DDE" w:rsidRDefault="003614A2" w:rsidP="00D30DED">
            <w:pPr>
              <w:spacing w:after="0" w:line="240" w:lineRule="auto"/>
              <w:jc w:val="center"/>
              <w:rPr>
                <w:rFonts w:ascii="Calibri" w:eastAsia="Times New Roman" w:hAnsi="Calibri" w:cs="Calibri"/>
                <w:color w:val="000000"/>
                <w:kern w:val="0"/>
                <w:lang w:eastAsia="es-AR"/>
                <w14:ligatures w14:val="none"/>
              </w:rPr>
            </w:pPr>
            <w:r w:rsidRPr="003F5DDE">
              <w:rPr>
                <w:rFonts w:ascii="Calibri" w:eastAsia="Times New Roman" w:hAnsi="Calibri" w:cs="Calibri"/>
                <w:color w:val="000000"/>
                <w:kern w:val="0"/>
                <w:lang w:eastAsia="es-AR"/>
                <w14:ligatures w14:val="none"/>
              </w:rPr>
              <w:t xml:space="preserve">Desacuerdo </w:t>
            </w:r>
          </w:p>
        </w:tc>
        <w:tc>
          <w:tcPr>
            <w:tcW w:w="1546" w:type="dxa"/>
            <w:tcBorders>
              <w:top w:val="nil"/>
              <w:left w:val="nil"/>
              <w:bottom w:val="single" w:sz="4" w:space="0" w:color="D0D7D5"/>
              <w:right w:val="single" w:sz="4" w:space="0" w:color="D0D7D5"/>
            </w:tcBorders>
            <w:noWrap/>
            <w:vAlign w:val="center"/>
            <w:hideMark/>
          </w:tcPr>
          <w:p w14:paraId="7D57E418" w14:textId="77777777" w:rsidR="003614A2" w:rsidRPr="003F5DDE" w:rsidRDefault="003614A2" w:rsidP="00D30DED">
            <w:pPr>
              <w:spacing w:after="0" w:line="240" w:lineRule="auto"/>
              <w:jc w:val="center"/>
              <w:rPr>
                <w:rFonts w:ascii="Calibri" w:eastAsia="Times New Roman" w:hAnsi="Calibri" w:cs="Calibri"/>
                <w:color w:val="000000"/>
                <w:kern w:val="0"/>
                <w:lang w:eastAsia="es-AR"/>
                <w14:ligatures w14:val="none"/>
              </w:rPr>
            </w:pPr>
            <w:r w:rsidRPr="003F5DDE">
              <w:rPr>
                <w:rFonts w:ascii="Calibri" w:eastAsia="Times New Roman" w:hAnsi="Calibri" w:cs="Calibri"/>
                <w:color w:val="000000"/>
                <w:kern w:val="0"/>
                <w:lang w:eastAsia="es-AR"/>
                <w14:ligatures w14:val="none"/>
              </w:rPr>
              <w:t>11%</w:t>
            </w:r>
          </w:p>
        </w:tc>
        <w:tc>
          <w:tcPr>
            <w:tcW w:w="827" w:type="dxa"/>
            <w:tcBorders>
              <w:top w:val="nil"/>
              <w:left w:val="nil"/>
              <w:bottom w:val="single" w:sz="4" w:space="0" w:color="D0D7D5"/>
              <w:right w:val="single" w:sz="4" w:space="0" w:color="D0D7D5"/>
            </w:tcBorders>
            <w:noWrap/>
            <w:vAlign w:val="center"/>
            <w:hideMark/>
          </w:tcPr>
          <w:p w14:paraId="2FD66C06" w14:textId="77777777" w:rsidR="003614A2" w:rsidRPr="003F5DDE" w:rsidRDefault="003614A2" w:rsidP="00D30DED">
            <w:pPr>
              <w:spacing w:after="0" w:line="240" w:lineRule="auto"/>
              <w:jc w:val="center"/>
              <w:rPr>
                <w:rFonts w:ascii="Calibri" w:eastAsia="Times New Roman" w:hAnsi="Calibri" w:cs="Calibri"/>
                <w:color w:val="000000"/>
                <w:kern w:val="0"/>
                <w:lang w:eastAsia="es-AR"/>
                <w14:ligatures w14:val="none"/>
              </w:rPr>
            </w:pPr>
            <w:r w:rsidRPr="003F5DDE">
              <w:rPr>
                <w:rFonts w:ascii="Calibri" w:eastAsia="Times New Roman" w:hAnsi="Calibri" w:cs="Calibri"/>
                <w:color w:val="000000"/>
                <w:kern w:val="0"/>
                <w:lang w:eastAsia="es-AR"/>
                <w14:ligatures w14:val="none"/>
              </w:rPr>
              <w:t>13%</w:t>
            </w:r>
          </w:p>
        </w:tc>
      </w:tr>
      <w:tr w:rsidR="003614A2" w:rsidRPr="00904762" w14:paraId="0840807E" w14:textId="77777777" w:rsidTr="003614A2">
        <w:trPr>
          <w:trHeight w:val="232"/>
        </w:trPr>
        <w:tc>
          <w:tcPr>
            <w:tcW w:w="4728" w:type="dxa"/>
            <w:vMerge w:val="restart"/>
            <w:tcBorders>
              <w:top w:val="nil"/>
              <w:left w:val="single" w:sz="4" w:space="0" w:color="D0D7D5"/>
              <w:bottom w:val="single" w:sz="4" w:space="0" w:color="D0D7D5"/>
              <w:right w:val="single" w:sz="4" w:space="0" w:color="D0D7D5"/>
            </w:tcBorders>
            <w:shd w:val="clear" w:color="FFFFFF" w:fill="FFFFFF"/>
            <w:vAlign w:val="center"/>
            <w:hideMark/>
          </w:tcPr>
          <w:p w14:paraId="2C15C79F" w14:textId="77777777" w:rsidR="003614A2" w:rsidRPr="00904762" w:rsidRDefault="003614A2" w:rsidP="00D30DED">
            <w:pPr>
              <w:spacing w:after="0" w:line="240" w:lineRule="auto"/>
              <w:jc w:val="center"/>
              <w:rPr>
                <w:rFonts w:ascii="Calibri" w:eastAsia="Times New Roman" w:hAnsi="Calibri" w:cs="Calibri"/>
                <w:b/>
                <w:bCs/>
                <w:color w:val="000000"/>
                <w:kern w:val="0"/>
                <w:lang w:eastAsia="es-AR"/>
                <w14:ligatures w14:val="none"/>
              </w:rPr>
            </w:pPr>
            <w:r w:rsidRPr="00904762">
              <w:rPr>
                <w:rFonts w:ascii="Calibri" w:eastAsia="Times New Roman" w:hAnsi="Calibri" w:cs="Calibri"/>
                <w:b/>
                <w:bCs/>
                <w:color w:val="000000"/>
                <w:kern w:val="0"/>
                <w:lang w:eastAsia="es-AR"/>
                <w14:ligatures w14:val="none"/>
              </w:rPr>
              <w:t>Estoy dispuesto a pagar más por un producto que cuide el medio ambiente</w:t>
            </w:r>
          </w:p>
        </w:tc>
        <w:tc>
          <w:tcPr>
            <w:tcW w:w="1558" w:type="dxa"/>
            <w:tcBorders>
              <w:top w:val="nil"/>
              <w:left w:val="nil"/>
              <w:bottom w:val="single" w:sz="4" w:space="0" w:color="D0D7D5"/>
              <w:right w:val="single" w:sz="4" w:space="0" w:color="D0D7D5"/>
            </w:tcBorders>
            <w:shd w:val="clear" w:color="FFFFFF" w:fill="FFFFFF"/>
            <w:noWrap/>
            <w:vAlign w:val="center"/>
            <w:hideMark/>
          </w:tcPr>
          <w:p w14:paraId="5A97EA83" w14:textId="430E4F42"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 xml:space="preserve">Acuerdo </w:t>
            </w:r>
          </w:p>
        </w:tc>
        <w:tc>
          <w:tcPr>
            <w:tcW w:w="1546" w:type="dxa"/>
            <w:tcBorders>
              <w:top w:val="nil"/>
              <w:left w:val="nil"/>
              <w:bottom w:val="single" w:sz="4" w:space="0" w:color="D0D7D5"/>
              <w:right w:val="single" w:sz="4" w:space="0" w:color="D0D7D5"/>
            </w:tcBorders>
            <w:shd w:val="clear" w:color="FFFFFF" w:fill="FFFFFF"/>
            <w:noWrap/>
            <w:vAlign w:val="center"/>
            <w:hideMark/>
          </w:tcPr>
          <w:p w14:paraId="110C95EF"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67%</w:t>
            </w:r>
          </w:p>
        </w:tc>
        <w:tc>
          <w:tcPr>
            <w:tcW w:w="827" w:type="dxa"/>
            <w:tcBorders>
              <w:top w:val="nil"/>
              <w:left w:val="nil"/>
              <w:bottom w:val="single" w:sz="4" w:space="0" w:color="D0D7D5"/>
              <w:right w:val="single" w:sz="4" w:space="0" w:color="D0D7D5"/>
            </w:tcBorders>
            <w:shd w:val="clear" w:color="FFFFFF" w:fill="FFFFFF"/>
            <w:noWrap/>
            <w:vAlign w:val="center"/>
            <w:hideMark/>
          </w:tcPr>
          <w:p w14:paraId="2AE0AC58"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68%</w:t>
            </w:r>
          </w:p>
        </w:tc>
      </w:tr>
      <w:tr w:rsidR="003614A2" w:rsidRPr="00904762" w14:paraId="50B14B49" w14:textId="77777777" w:rsidTr="003614A2">
        <w:trPr>
          <w:trHeight w:val="232"/>
        </w:trPr>
        <w:tc>
          <w:tcPr>
            <w:tcW w:w="4728" w:type="dxa"/>
            <w:vMerge/>
            <w:tcBorders>
              <w:top w:val="nil"/>
              <w:left w:val="single" w:sz="4" w:space="0" w:color="D0D7D5"/>
              <w:bottom w:val="single" w:sz="4" w:space="0" w:color="D0D7D5"/>
              <w:right w:val="single" w:sz="4" w:space="0" w:color="D0D7D5"/>
            </w:tcBorders>
            <w:vAlign w:val="center"/>
            <w:hideMark/>
          </w:tcPr>
          <w:p w14:paraId="2D8E110E" w14:textId="77777777" w:rsidR="003614A2" w:rsidRPr="00904762" w:rsidRDefault="003614A2" w:rsidP="00D30DED">
            <w:pPr>
              <w:spacing w:after="0" w:line="240" w:lineRule="auto"/>
              <w:rPr>
                <w:rFonts w:ascii="Calibri" w:eastAsia="Times New Roman" w:hAnsi="Calibri" w:cs="Calibri"/>
                <w:b/>
                <w:bCs/>
                <w:color w:val="000000"/>
                <w:kern w:val="0"/>
                <w:lang w:eastAsia="es-AR"/>
                <w14:ligatures w14:val="none"/>
              </w:rPr>
            </w:pPr>
          </w:p>
        </w:tc>
        <w:tc>
          <w:tcPr>
            <w:tcW w:w="1558" w:type="dxa"/>
            <w:tcBorders>
              <w:top w:val="nil"/>
              <w:left w:val="nil"/>
              <w:bottom w:val="single" w:sz="4" w:space="0" w:color="D0D7D5"/>
              <w:right w:val="single" w:sz="4" w:space="0" w:color="D0D7D5"/>
            </w:tcBorders>
            <w:shd w:val="clear" w:color="FFFFFF" w:fill="FFFFFF"/>
            <w:noWrap/>
            <w:vAlign w:val="center"/>
            <w:hideMark/>
          </w:tcPr>
          <w:p w14:paraId="3E31112A" w14:textId="712C4D49"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Desacuerdo</w:t>
            </w:r>
          </w:p>
        </w:tc>
        <w:tc>
          <w:tcPr>
            <w:tcW w:w="1546" w:type="dxa"/>
            <w:tcBorders>
              <w:top w:val="nil"/>
              <w:left w:val="nil"/>
              <w:bottom w:val="single" w:sz="4" w:space="0" w:color="D0D7D5"/>
              <w:right w:val="single" w:sz="4" w:space="0" w:color="D0D7D5"/>
            </w:tcBorders>
            <w:shd w:val="clear" w:color="FFFFFF" w:fill="FFFFFF"/>
            <w:noWrap/>
            <w:vAlign w:val="center"/>
            <w:hideMark/>
          </w:tcPr>
          <w:p w14:paraId="7B6C523E"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24%</w:t>
            </w:r>
          </w:p>
        </w:tc>
        <w:tc>
          <w:tcPr>
            <w:tcW w:w="827" w:type="dxa"/>
            <w:tcBorders>
              <w:top w:val="nil"/>
              <w:left w:val="nil"/>
              <w:bottom w:val="single" w:sz="4" w:space="0" w:color="D0D7D5"/>
              <w:right w:val="single" w:sz="4" w:space="0" w:color="D0D7D5"/>
            </w:tcBorders>
            <w:shd w:val="clear" w:color="FFFFFF" w:fill="FFFFFF"/>
            <w:noWrap/>
            <w:vAlign w:val="center"/>
            <w:hideMark/>
          </w:tcPr>
          <w:p w14:paraId="059C1A80" w14:textId="77777777" w:rsidR="003614A2" w:rsidRPr="00904762" w:rsidRDefault="003614A2" w:rsidP="00D30DED">
            <w:pPr>
              <w:spacing w:after="0" w:line="240" w:lineRule="auto"/>
              <w:jc w:val="center"/>
              <w:rPr>
                <w:rFonts w:ascii="Calibri" w:eastAsia="Times New Roman" w:hAnsi="Calibri" w:cs="Calibri"/>
                <w:color w:val="000000"/>
                <w:kern w:val="0"/>
                <w:lang w:eastAsia="es-AR"/>
                <w14:ligatures w14:val="none"/>
              </w:rPr>
            </w:pPr>
            <w:r w:rsidRPr="00904762">
              <w:rPr>
                <w:rFonts w:ascii="Calibri" w:eastAsia="Times New Roman" w:hAnsi="Calibri" w:cs="Calibri"/>
                <w:color w:val="000000"/>
                <w:kern w:val="0"/>
                <w:lang w:eastAsia="es-AR"/>
                <w14:ligatures w14:val="none"/>
              </w:rPr>
              <w:t>23%</w:t>
            </w:r>
          </w:p>
        </w:tc>
      </w:tr>
    </w:tbl>
    <w:p w14:paraId="3D67755F" w14:textId="77777777" w:rsidR="003F5DDE" w:rsidRDefault="003F5DDE" w:rsidP="00904762">
      <w:pPr>
        <w:jc w:val="center"/>
        <w:rPr>
          <w:rFonts w:ascii="Calibri" w:eastAsia="Calibri" w:hAnsi="Calibri" w:cs="Calibri"/>
          <w:i/>
          <w:iCs/>
          <w:sz w:val="20"/>
          <w:szCs w:val="20"/>
        </w:rPr>
      </w:pPr>
    </w:p>
    <w:p w14:paraId="42D8B414" w14:textId="0C47E6A1" w:rsidR="003614A2" w:rsidRDefault="003614A2" w:rsidP="00904762">
      <w:pPr>
        <w:jc w:val="center"/>
        <w:rPr>
          <w:rFonts w:ascii="Calibri" w:eastAsia="Calibri" w:hAnsi="Calibri" w:cs="Calibri"/>
          <w:sz w:val="24"/>
          <w:szCs w:val="24"/>
        </w:rPr>
      </w:pPr>
      <w:r w:rsidRPr="00F62CC9">
        <w:rPr>
          <w:rFonts w:ascii="Calibri" w:eastAsia="Calibri" w:hAnsi="Calibri" w:cs="Calibri"/>
          <w:i/>
          <w:iCs/>
          <w:sz w:val="20"/>
          <w:szCs w:val="20"/>
        </w:rPr>
        <w:t>Fuente WIN Voices! En Argentina</w:t>
      </w:r>
    </w:p>
    <w:p w14:paraId="16B4EDE5" w14:textId="1885950D" w:rsidR="00254D1C" w:rsidRPr="00254D1C" w:rsidRDefault="00254D1C" w:rsidP="003F5DDE">
      <w:pPr>
        <w:spacing w:before="100" w:beforeAutospacing="1" w:after="100" w:afterAutospacing="1" w:line="240" w:lineRule="auto"/>
        <w:jc w:val="both"/>
        <w:outlineLvl w:val="2"/>
        <w:rPr>
          <w:rFonts w:ascii="Calibri" w:eastAsia="Calibri" w:hAnsi="Calibri" w:cs="Calibri"/>
          <w:b/>
          <w:bCs/>
          <w:color w:val="388600"/>
          <w:sz w:val="24"/>
          <w:szCs w:val="24"/>
        </w:rPr>
      </w:pPr>
      <w:r w:rsidRPr="00254D1C">
        <w:rPr>
          <w:rFonts w:ascii="Calibri" w:eastAsia="Calibri" w:hAnsi="Calibri" w:cs="Calibri"/>
          <w:b/>
          <w:bCs/>
          <w:color w:val="388600"/>
          <w:sz w:val="24"/>
          <w:szCs w:val="24"/>
        </w:rPr>
        <w:t>Mujeres, jóvenes y sectores vulnerables ¿Quiénes viven el cambio climático de manera diferente en Argentina?</w:t>
      </w:r>
    </w:p>
    <w:p w14:paraId="3617307A" w14:textId="77777777" w:rsidR="00254D1C" w:rsidRPr="00254D1C" w:rsidRDefault="00254D1C" w:rsidP="003F5DDE">
      <w:pPr>
        <w:spacing w:before="100" w:beforeAutospacing="1" w:after="100" w:afterAutospacing="1" w:line="240" w:lineRule="auto"/>
        <w:jc w:val="both"/>
        <w:rPr>
          <w:rFonts w:ascii="Calibri" w:eastAsia="Calibri" w:hAnsi="Calibri" w:cs="Calibri"/>
          <w:sz w:val="24"/>
          <w:szCs w:val="24"/>
        </w:rPr>
      </w:pPr>
      <w:r w:rsidRPr="00254D1C">
        <w:rPr>
          <w:rFonts w:ascii="Calibri" w:eastAsia="Calibri" w:hAnsi="Calibri" w:cs="Calibri"/>
          <w:sz w:val="24"/>
          <w:szCs w:val="24"/>
        </w:rPr>
        <w:t>Los resultados muestran que la preocupación ambiental no se distribuye de manera homogénea en la sociedad argentina. Mujeres, jóvenes y sectores socialmente más vulnerables se vinculan con el problema desde lugares distintos.</w:t>
      </w:r>
    </w:p>
    <w:p w14:paraId="32AB7A55" w14:textId="77777777" w:rsidR="00254D1C" w:rsidRPr="00254D1C" w:rsidRDefault="00254D1C" w:rsidP="003F5DDE">
      <w:pPr>
        <w:spacing w:before="100" w:beforeAutospacing="1" w:after="100" w:afterAutospacing="1" w:line="240" w:lineRule="auto"/>
        <w:jc w:val="both"/>
        <w:rPr>
          <w:rFonts w:ascii="Calibri" w:eastAsia="Calibri" w:hAnsi="Calibri" w:cs="Calibri"/>
          <w:sz w:val="24"/>
          <w:szCs w:val="24"/>
        </w:rPr>
      </w:pPr>
      <w:r w:rsidRPr="00254D1C">
        <w:rPr>
          <w:rFonts w:ascii="Calibri" w:eastAsia="Calibri" w:hAnsi="Calibri" w:cs="Calibri"/>
          <w:b/>
          <w:bCs/>
          <w:sz w:val="24"/>
          <w:szCs w:val="24"/>
        </w:rPr>
        <w:t>Las mujeres</w:t>
      </w:r>
      <w:r w:rsidRPr="00254D1C">
        <w:rPr>
          <w:rFonts w:ascii="Calibri" w:eastAsia="Calibri" w:hAnsi="Calibri" w:cs="Calibri"/>
          <w:sz w:val="24"/>
          <w:szCs w:val="24"/>
        </w:rPr>
        <w:t xml:space="preserve"> aparecen como el grupo con mayor sensibilidad climática. Son quienes más perciben al calentamiento global como una amenaza, más creen que las acciones individuales pueden generar cambios y más reconocen el impacto creciente de los fenómenos climáticos extremos. En otras palabras, combinan preocupación con una fuerte sensación de responsabilidad personal.</w:t>
      </w:r>
    </w:p>
    <w:p w14:paraId="7780E9B0" w14:textId="77777777" w:rsidR="00254D1C" w:rsidRPr="00254D1C" w:rsidRDefault="00254D1C" w:rsidP="003F5DDE">
      <w:pPr>
        <w:spacing w:before="100" w:beforeAutospacing="1" w:after="100" w:afterAutospacing="1" w:line="240" w:lineRule="auto"/>
        <w:jc w:val="both"/>
        <w:outlineLvl w:val="2"/>
        <w:rPr>
          <w:rFonts w:ascii="Calibri" w:eastAsia="Calibri" w:hAnsi="Calibri" w:cs="Calibri"/>
          <w:sz w:val="24"/>
          <w:szCs w:val="24"/>
        </w:rPr>
      </w:pPr>
      <w:r w:rsidRPr="00254D1C">
        <w:rPr>
          <w:rFonts w:ascii="Calibri" w:eastAsia="Calibri" w:hAnsi="Calibri" w:cs="Calibri"/>
          <w:b/>
          <w:bCs/>
          <w:sz w:val="24"/>
          <w:szCs w:val="24"/>
        </w:rPr>
        <w:t>Los jóvenes</w:t>
      </w:r>
      <w:r w:rsidRPr="00254D1C">
        <w:rPr>
          <w:rFonts w:ascii="Calibri" w:eastAsia="Calibri" w:hAnsi="Calibri" w:cs="Calibri"/>
          <w:sz w:val="24"/>
          <w:szCs w:val="24"/>
        </w:rPr>
        <w:t xml:space="preserve"> presentan un perfil diferente. Aunque reconocen la existencia del problema, muestran menores niveles de preocupación, menor confianza en la capacidad de las acciones individuales para producir cambios y una menor disposición a pagar más por </w:t>
      </w:r>
      <w:r w:rsidRPr="00254D1C">
        <w:rPr>
          <w:rFonts w:ascii="Calibri" w:eastAsia="Calibri" w:hAnsi="Calibri" w:cs="Calibri"/>
          <w:sz w:val="24"/>
          <w:szCs w:val="24"/>
        </w:rPr>
        <w:lastRenderedPageBreak/>
        <w:t>productos amigables con el medioambiente. Los datos sugieren una relación más distante con la agenda ambiental, posiblemente atravesada por otras preocupaciones económicas y sociales que compiten por su atención.</w:t>
      </w:r>
    </w:p>
    <w:p w14:paraId="27920AD6" w14:textId="77777777" w:rsidR="00254D1C" w:rsidRPr="00254D1C" w:rsidRDefault="00254D1C" w:rsidP="003F5DDE">
      <w:pPr>
        <w:spacing w:before="100" w:beforeAutospacing="1" w:after="100" w:afterAutospacing="1" w:line="240" w:lineRule="auto"/>
        <w:jc w:val="both"/>
        <w:outlineLvl w:val="2"/>
        <w:rPr>
          <w:rFonts w:ascii="Calibri" w:eastAsia="Calibri" w:hAnsi="Calibri" w:cs="Calibri"/>
          <w:sz w:val="24"/>
          <w:szCs w:val="24"/>
        </w:rPr>
      </w:pPr>
      <w:r w:rsidRPr="00254D1C">
        <w:rPr>
          <w:rFonts w:ascii="Calibri" w:eastAsia="Calibri" w:hAnsi="Calibri" w:cs="Calibri"/>
          <w:sz w:val="24"/>
          <w:szCs w:val="24"/>
        </w:rPr>
        <w:t xml:space="preserve">Por su parte, </w:t>
      </w:r>
      <w:r w:rsidRPr="00254D1C">
        <w:rPr>
          <w:rFonts w:ascii="Calibri" w:eastAsia="Calibri" w:hAnsi="Calibri" w:cs="Calibri"/>
          <w:b/>
          <w:bCs/>
          <w:sz w:val="24"/>
          <w:szCs w:val="24"/>
        </w:rPr>
        <w:t>los sectores de menor nivel socioeconómico</w:t>
      </w:r>
      <w:r w:rsidRPr="00254D1C">
        <w:rPr>
          <w:rFonts w:ascii="Calibri" w:eastAsia="Calibri" w:hAnsi="Calibri" w:cs="Calibri"/>
          <w:sz w:val="24"/>
          <w:szCs w:val="24"/>
        </w:rPr>
        <w:t xml:space="preserve"> exhiben una combinación particular de alta preocupación y elevado pesimismo. Son quienes más perciben los riesgos asociados al cambio climático, pero también quienes con mayor frecuencia consideran que ya es demasiado tarde para revertir el problema. Esta mirada podría estar vinculada a una mayor exposición cotidiana a las consecuencias de eventos climáticos extremos y a menores recursos para enfrentarlos.</w:t>
      </w:r>
    </w:p>
    <w:p w14:paraId="53FFE637" w14:textId="77777777" w:rsidR="003C2290" w:rsidRDefault="003C2290" w:rsidP="003F5DDE">
      <w:pPr>
        <w:jc w:val="both"/>
        <w:rPr>
          <w:rFonts w:ascii="Calibri" w:eastAsia="Calibri" w:hAnsi="Calibri" w:cs="Calibri"/>
          <w:sz w:val="24"/>
          <w:szCs w:val="24"/>
        </w:rPr>
      </w:pPr>
    </w:p>
    <w:p w14:paraId="69D9BA70" w14:textId="450E90E8" w:rsidR="004A7C1F" w:rsidRDefault="003C2290" w:rsidP="003F5DDE">
      <w:pPr>
        <w:jc w:val="both"/>
        <w:rPr>
          <w:rFonts w:ascii="Calibri" w:eastAsia="Calibri" w:hAnsi="Calibri" w:cs="Calibri"/>
          <w:sz w:val="24"/>
          <w:szCs w:val="24"/>
        </w:rPr>
      </w:pPr>
      <w:r>
        <w:rPr>
          <w:rFonts w:ascii="Calibri" w:eastAsia="Calibri" w:hAnsi="Calibri" w:cs="Calibri"/>
          <w:sz w:val="24"/>
          <w:szCs w:val="24"/>
        </w:rPr>
        <w:t>Constanza Cilley, Directora Ejecutiva de Voices</w:t>
      </w:r>
      <w:r w:rsidR="003F5DDE">
        <w:rPr>
          <w:rFonts w:ascii="Calibri" w:eastAsia="Calibri" w:hAnsi="Calibri" w:cs="Calibri"/>
          <w:sz w:val="24"/>
          <w:szCs w:val="24"/>
        </w:rPr>
        <w:t>!</w:t>
      </w:r>
      <w:r>
        <w:rPr>
          <w:rFonts w:ascii="Calibri" w:eastAsia="Calibri" w:hAnsi="Calibri" w:cs="Calibri"/>
          <w:sz w:val="24"/>
          <w:szCs w:val="24"/>
        </w:rPr>
        <w:t xml:space="preserve"> y analista social, comentó: </w:t>
      </w:r>
      <w:r w:rsidR="003614A2" w:rsidRPr="003614A2">
        <w:rPr>
          <w:rFonts w:ascii="Calibri" w:eastAsia="Calibri" w:hAnsi="Calibri" w:cs="Calibri"/>
          <w:i/>
          <w:iCs/>
          <w:sz w:val="24"/>
          <w:szCs w:val="24"/>
        </w:rPr>
        <w:t>"Los resultados de este año en Argentina y la región nos dejan un mensaje contundente: el problema ya no es la falta de información o de conciencia ambiental. Los argentinos entienden la gravedad del cambio climático e incluso preservan, por encima de la media global, una fuerte convicción de que el esfuerzo individual cuenta. Sin embargo, se ha ensanchado la brecha entre lo que resulta viable sostener en su día a día. Esta tensión, sumada a una mirada crítica sobre la gestión pública del tema, podría estar alimentando cierto escepticismo”.</w:t>
      </w:r>
    </w:p>
    <w:p w14:paraId="7C6C62BF" w14:textId="77777777" w:rsidR="004A7C1F" w:rsidRDefault="004A7C1F" w:rsidP="003F5DDE">
      <w:pPr>
        <w:jc w:val="both"/>
        <w:rPr>
          <w:rFonts w:ascii="Calibri" w:eastAsia="Calibri" w:hAnsi="Calibri" w:cs="Calibri"/>
          <w:sz w:val="24"/>
          <w:szCs w:val="24"/>
        </w:rPr>
      </w:pPr>
    </w:p>
    <w:p w14:paraId="5F35FDD9" w14:textId="6F24243E" w:rsidR="00C032AF" w:rsidRPr="00C263CC" w:rsidRDefault="00C032AF" w:rsidP="003F5DDE">
      <w:pPr>
        <w:jc w:val="both"/>
        <w:rPr>
          <w:rFonts w:ascii="Calibri" w:eastAsia="Calibri" w:hAnsi="Calibri" w:cs="Calibri"/>
          <w:sz w:val="24"/>
          <w:szCs w:val="24"/>
        </w:rPr>
      </w:pPr>
      <w:r w:rsidRPr="00C263CC">
        <w:rPr>
          <w:rFonts w:ascii="Calibri" w:eastAsia="Calibri" w:hAnsi="Calibri" w:cs="Calibri"/>
          <w:sz w:val="24"/>
          <w:szCs w:val="24"/>
        </w:rPr>
        <w:t xml:space="preserve">Richard Colwell, Presidente de WIN International </w:t>
      </w:r>
      <w:proofErr w:type="spellStart"/>
      <w:r w:rsidRPr="00C263CC">
        <w:rPr>
          <w:rFonts w:ascii="Calibri" w:eastAsia="Calibri" w:hAnsi="Calibri" w:cs="Calibri"/>
          <w:sz w:val="24"/>
          <w:szCs w:val="24"/>
        </w:rPr>
        <w:t>Association</w:t>
      </w:r>
      <w:proofErr w:type="spellEnd"/>
      <w:r w:rsidRPr="00C263CC">
        <w:rPr>
          <w:rFonts w:ascii="Calibri" w:eastAsia="Calibri" w:hAnsi="Calibri" w:cs="Calibri"/>
          <w:sz w:val="24"/>
          <w:szCs w:val="24"/>
        </w:rPr>
        <w:t>, afirmó:</w:t>
      </w:r>
      <w:r w:rsidR="003C2290">
        <w:rPr>
          <w:rFonts w:ascii="Calibri" w:eastAsia="Calibri" w:hAnsi="Calibri" w:cs="Calibri"/>
          <w:sz w:val="24"/>
          <w:szCs w:val="24"/>
        </w:rPr>
        <w:t xml:space="preserve"> </w:t>
      </w:r>
      <w:r w:rsidRPr="003C2290">
        <w:rPr>
          <w:rFonts w:ascii="Calibri" w:eastAsia="Calibri" w:hAnsi="Calibri" w:cs="Calibri"/>
          <w:i/>
          <w:iCs/>
          <w:sz w:val="24"/>
          <w:szCs w:val="24"/>
        </w:rPr>
        <w:t xml:space="preserve">“Los datos </w:t>
      </w:r>
      <w:r w:rsidR="00E30DA4">
        <w:rPr>
          <w:rFonts w:ascii="Calibri" w:eastAsia="Calibri" w:hAnsi="Calibri" w:cs="Calibri"/>
          <w:i/>
          <w:iCs/>
          <w:sz w:val="24"/>
          <w:szCs w:val="24"/>
        </w:rPr>
        <w:t xml:space="preserve">globales </w:t>
      </w:r>
      <w:r w:rsidRPr="003C2290">
        <w:rPr>
          <w:rFonts w:ascii="Calibri" w:eastAsia="Calibri" w:hAnsi="Calibri" w:cs="Calibri"/>
          <w:i/>
          <w:iCs/>
          <w:sz w:val="24"/>
          <w:szCs w:val="24"/>
        </w:rPr>
        <w:t>muestran que la preocupación por el cambio climático sigue profundamente arraigada en las sociedades de todo el mundo, pero estamos entrando en una nueva etapa en la forma en que las personas se vinculan con el tema. Las realidades económicas, la confianza en las instituciones y la confianza en el impacto individual están moldeando los comportamientos. Las personas todavía creen que el cambio es posible, pero esperan cada vez más que los gobiernos y las empresas lideren el camino. Reducir la brecha entre intención y acción será fundamental si queremos transformar la conciencia en un progreso significativo.”</w:t>
      </w:r>
    </w:p>
    <w:p w14:paraId="0F38503C" w14:textId="498A0B5C" w:rsidR="002F37D0" w:rsidRDefault="002F37D0">
      <w:pPr>
        <w:rPr>
          <w:rFonts w:ascii="Calibri" w:eastAsia="Calibri" w:hAnsi="Calibri" w:cs="Calibri"/>
          <w:sz w:val="24"/>
          <w:szCs w:val="24"/>
        </w:rPr>
      </w:pPr>
    </w:p>
    <w:p w14:paraId="768541F0" w14:textId="77777777" w:rsidR="003F5DDE" w:rsidRDefault="003F5DDE">
      <w:pPr>
        <w:rPr>
          <w:rFonts w:ascii="Calibri" w:eastAsia="Calibri" w:hAnsi="Calibri" w:cs="Calibri"/>
          <w:b/>
          <w:bCs/>
          <w:sz w:val="24"/>
          <w:szCs w:val="24"/>
        </w:rPr>
      </w:pPr>
      <w:r>
        <w:rPr>
          <w:rFonts w:ascii="Calibri" w:eastAsia="Calibri" w:hAnsi="Calibri" w:cs="Calibri"/>
          <w:b/>
          <w:bCs/>
          <w:sz w:val="24"/>
          <w:szCs w:val="24"/>
        </w:rPr>
        <w:br w:type="page"/>
      </w:r>
    </w:p>
    <w:p w14:paraId="2D54A4D2" w14:textId="5AD9F47D"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b/>
          <w:bCs/>
          <w:sz w:val="24"/>
          <w:szCs w:val="24"/>
        </w:rPr>
        <w:lastRenderedPageBreak/>
        <w:t>Acerca de la Encuesta WIN</w:t>
      </w:r>
    </w:p>
    <w:p w14:paraId="2343E109" w14:textId="77777777" w:rsidR="006D78B9" w:rsidRPr="00D03849" w:rsidRDefault="006D78B9" w:rsidP="006D78B9">
      <w:pPr>
        <w:spacing w:line="278" w:lineRule="auto"/>
        <w:jc w:val="both"/>
        <w:rPr>
          <w:rFonts w:ascii="Calibri" w:eastAsia="Calibri" w:hAnsi="Calibri" w:cs="Calibri"/>
          <w:sz w:val="24"/>
          <w:szCs w:val="24"/>
        </w:rPr>
      </w:pPr>
      <w:proofErr w:type="spellStart"/>
      <w:r w:rsidRPr="00D03849">
        <w:rPr>
          <w:rFonts w:ascii="Calibri" w:eastAsia="Calibri" w:hAnsi="Calibri" w:cs="Calibri"/>
          <w:sz w:val="24"/>
          <w:szCs w:val="24"/>
        </w:rPr>
        <w:t>Worldwide</w:t>
      </w:r>
      <w:proofErr w:type="spellEnd"/>
      <w:r w:rsidRPr="00D03849">
        <w:rPr>
          <w:rFonts w:ascii="Calibri" w:eastAsia="Calibri" w:hAnsi="Calibri" w:cs="Calibri"/>
          <w:sz w:val="24"/>
          <w:szCs w:val="24"/>
        </w:rPr>
        <w:t xml:space="preserve"> Independent Network </w:t>
      </w:r>
      <w:proofErr w:type="spellStart"/>
      <w:r w:rsidRPr="00D03849">
        <w:rPr>
          <w:rFonts w:ascii="Calibri" w:eastAsia="Calibri" w:hAnsi="Calibri" w:cs="Calibri"/>
          <w:sz w:val="24"/>
          <w:szCs w:val="24"/>
        </w:rPr>
        <w:t>of</w:t>
      </w:r>
      <w:proofErr w:type="spellEnd"/>
      <w:r w:rsidRPr="00D03849">
        <w:rPr>
          <w:rFonts w:ascii="Calibri" w:eastAsia="Calibri" w:hAnsi="Calibri" w:cs="Calibri"/>
          <w:sz w:val="24"/>
          <w:szCs w:val="24"/>
        </w:rPr>
        <w:t xml:space="preserve"> Market </w:t>
      </w:r>
      <w:proofErr w:type="spellStart"/>
      <w:r w:rsidRPr="00D03849">
        <w:rPr>
          <w:rFonts w:ascii="Calibri" w:eastAsia="Calibri" w:hAnsi="Calibri" w:cs="Calibri"/>
          <w:sz w:val="24"/>
          <w:szCs w:val="24"/>
        </w:rPr>
        <w:t>Research</w:t>
      </w:r>
      <w:proofErr w:type="spellEnd"/>
      <w:r w:rsidRPr="00D03849">
        <w:rPr>
          <w:rFonts w:ascii="Calibri" w:eastAsia="Calibri" w:hAnsi="Calibri" w:cs="Calibri"/>
          <w:sz w:val="24"/>
          <w:szCs w:val="24"/>
        </w:rPr>
        <w:t xml:space="preserve"> (WIN) es una red global que realiza Investigación de Mercado y Encuestas de opinión en todos los continentes – Voices! es integrante de la red realizando los estudios en Argentina.</w:t>
      </w:r>
    </w:p>
    <w:p w14:paraId="7E1CDA73" w14:textId="77777777" w:rsidR="006D78B9" w:rsidRPr="00D03849" w:rsidRDefault="006D78B9" w:rsidP="006D78B9">
      <w:pPr>
        <w:spacing w:line="278" w:lineRule="auto"/>
        <w:jc w:val="both"/>
        <w:rPr>
          <w:rFonts w:ascii="Calibri" w:eastAsia="Calibri" w:hAnsi="Calibri" w:cs="Calibri"/>
          <w:sz w:val="24"/>
          <w:szCs w:val="24"/>
        </w:rPr>
      </w:pPr>
    </w:p>
    <w:p w14:paraId="33F57938" w14:textId="77777777" w:rsidR="006D78B9" w:rsidRPr="00D03849" w:rsidRDefault="006D78B9" w:rsidP="006D78B9">
      <w:pPr>
        <w:spacing w:line="278" w:lineRule="auto"/>
        <w:jc w:val="both"/>
        <w:rPr>
          <w:rFonts w:ascii="Calibri" w:eastAsia="Calibri" w:hAnsi="Calibri" w:cs="Calibri"/>
          <w:b/>
          <w:bCs/>
          <w:sz w:val="24"/>
          <w:szCs w:val="24"/>
        </w:rPr>
      </w:pPr>
      <w:r w:rsidRPr="00D03849">
        <w:rPr>
          <w:rFonts w:ascii="Calibri" w:eastAsia="Calibri" w:hAnsi="Calibri" w:cs="Calibri"/>
          <w:b/>
          <w:bCs/>
          <w:sz w:val="24"/>
          <w:szCs w:val="24"/>
        </w:rPr>
        <w:t xml:space="preserve">Metodología </w:t>
      </w:r>
    </w:p>
    <w:p w14:paraId="6B383487"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 xml:space="preserve">La encuesta se realizó en 44 países utilizando métodos de encuesta CAWI / CATI / F2F/ TAPI /online. </w:t>
      </w:r>
    </w:p>
    <w:p w14:paraId="6644216B"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 xml:space="preserve">Tamaño muestral global: Se entrevistó a un total de 45.000 individuos. </w:t>
      </w:r>
    </w:p>
    <w:p w14:paraId="5EC2E1CE"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Trabajo de campo del estudio: noviembre 2025 - febrero 2026</w:t>
      </w:r>
    </w:p>
    <w:p w14:paraId="755D972A"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En Argentina se realizaron 1007 encuestas autoadministradas de manera online entre población adulta de 18 años y más a nivel nacional.</w:t>
      </w:r>
    </w:p>
    <w:p w14:paraId="227D25B7"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Fecha de trabajo de campo en Argentina:</w:t>
      </w:r>
      <w:r>
        <w:rPr>
          <w:rFonts w:ascii="Calibri" w:eastAsia="Calibri" w:hAnsi="Calibri" w:cs="Calibri"/>
          <w:sz w:val="24"/>
          <w:szCs w:val="24"/>
        </w:rPr>
        <w:t xml:space="preserve"> enero 2026</w:t>
      </w:r>
    </w:p>
    <w:p w14:paraId="361C8FE8" w14:textId="77777777" w:rsidR="006D78B9" w:rsidRPr="00D03849" w:rsidRDefault="006D78B9" w:rsidP="006D78B9">
      <w:pPr>
        <w:spacing w:line="278" w:lineRule="auto"/>
        <w:jc w:val="both"/>
        <w:rPr>
          <w:rFonts w:ascii="Calibri" w:eastAsia="Calibri" w:hAnsi="Calibri" w:cs="Calibri"/>
          <w:sz w:val="24"/>
          <w:szCs w:val="24"/>
        </w:rPr>
      </w:pPr>
    </w:p>
    <w:p w14:paraId="00C99A7E"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b/>
          <w:bCs/>
          <w:sz w:val="24"/>
          <w:szCs w:val="24"/>
        </w:rPr>
        <w:t>Acerca de Voices!</w:t>
      </w:r>
    </w:p>
    <w:p w14:paraId="513873C4"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 xml:space="preserve">Voices! </w:t>
      </w:r>
      <w:proofErr w:type="spellStart"/>
      <w:r w:rsidRPr="00D03849">
        <w:rPr>
          <w:rFonts w:ascii="Calibri" w:eastAsia="Calibri" w:hAnsi="Calibri" w:cs="Calibri"/>
          <w:sz w:val="24"/>
          <w:szCs w:val="24"/>
        </w:rPr>
        <w:t>Research</w:t>
      </w:r>
      <w:proofErr w:type="spellEnd"/>
      <w:r w:rsidRPr="00D03849">
        <w:rPr>
          <w:rFonts w:ascii="Calibri" w:eastAsia="Calibri" w:hAnsi="Calibri" w:cs="Calibri"/>
          <w:sz w:val="24"/>
          <w:szCs w:val="24"/>
        </w:rPr>
        <w:t xml:space="preserve"> &amp; </w:t>
      </w:r>
      <w:proofErr w:type="spellStart"/>
      <w:r w:rsidRPr="00D03849">
        <w:rPr>
          <w:rFonts w:ascii="Calibri" w:eastAsia="Calibri" w:hAnsi="Calibri" w:cs="Calibri"/>
          <w:sz w:val="24"/>
          <w:szCs w:val="24"/>
        </w:rPr>
        <w:t>Consultancy</w:t>
      </w:r>
      <w:proofErr w:type="spellEnd"/>
      <w:r w:rsidRPr="00D03849">
        <w:rPr>
          <w:rFonts w:ascii="Calibri" w:eastAsia="Calibri" w:hAnsi="Calibri" w:cs="Calibri"/>
          <w:sz w:val="24"/>
          <w:szCs w:val="24"/>
        </w:rPr>
        <w:t xml:space="preserve"> es una empresa con foco en la investigación social, política y de mercado, con el objetivo de proporcionar consultoría a las organizaciones usando rigurosas metodologías y enfoques innovadores. El equipo de VOICES! tiene una amplia experiencia en estudios nacionales e internacionales y ha participado en las investigaciones con encuestas más importantes del mundo.</w:t>
      </w:r>
    </w:p>
    <w:p w14:paraId="7DBE158B"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Voices! es integrante de la red realizando los estudios en Argentina.</w:t>
      </w:r>
    </w:p>
    <w:p w14:paraId="004D7E05" w14:textId="77777777" w:rsidR="006D78B9" w:rsidRPr="000D5932" w:rsidRDefault="006D78B9" w:rsidP="006D78B9">
      <w:pPr>
        <w:spacing w:line="278" w:lineRule="auto"/>
        <w:jc w:val="both"/>
        <w:rPr>
          <w:rFonts w:ascii="Calibri" w:eastAsia="Calibri" w:hAnsi="Calibri" w:cs="Calibri"/>
          <w:b/>
          <w:bCs/>
          <w:sz w:val="24"/>
          <w:szCs w:val="24"/>
          <w:lang w:val="en-US"/>
        </w:rPr>
      </w:pPr>
      <w:hyperlink r:id="rId9">
        <w:r w:rsidRPr="000D5932">
          <w:rPr>
            <w:rFonts w:ascii="Calibri" w:eastAsia="Calibri" w:hAnsi="Calibri" w:cs="Calibri"/>
            <w:color w:val="467886"/>
            <w:sz w:val="24"/>
            <w:szCs w:val="24"/>
            <w:u w:val="single"/>
            <w:lang w:val="en-US"/>
          </w:rPr>
          <w:t>http://www.voicesconsultancy.com/</w:t>
        </w:r>
      </w:hyperlink>
      <w:r w:rsidRPr="000D5932">
        <w:rPr>
          <w:rFonts w:ascii="Calibri" w:eastAsia="Calibri" w:hAnsi="Calibri" w:cs="Calibri"/>
          <w:sz w:val="24"/>
          <w:szCs w:val="24"/>
          <w:lang w:val="en-US"/>
        </w:rPr>
        <w:t>  </w:t>
      </w:r>
    </w:p>
    <w:p w14:paraId="37E8377F" w14:textId="77777777" w:rsidR="006D78B9" w:rsidRPr="000D5932" w:rsidRDefault="006D78B9" w:rsidP="006D78B9">
      <w:pPr>
        <w:spacing w:line="278" w:lineRule="auto"/>
        <w:jc w:val="both"/>
        <w:rPr>
          <w:rFonts w:ascii="Calibri" w:eastAsia="Calibri" w:hAnsi="Calibri" w:cs="Calibri"/>
          <w:b/>
          <w:bCs/>
          <w:sz w:val="24"/>
          <w:szCs w:val="24"/>
          <w:lang w:val="en-US"/>
        </w:rPr>
      </w:pPr>
    </w:p>
    <w:p w14:paraId="62A5C705" w14:textId="77777777" w:rsidR="006D78B9" w:rsidRPr="000D5932" w:rsidRDefault="006D78B9" w:rsidP="006D78B9">
      <w:pPr>
        <w:spacing w:line="278" w:lineRule="auto"/>
        <w:jc w:val="both"/>
        <w:rPr>
          <w:rFonts w:ascii="Calibri" w:eastAsia="Calibri" w:hAnsi="Calibri" w:cs="Calibri"/>
          <w:sz w:val="24"/>
          <w:szCs w:val="24"/>
          <w:lang w:val="en-US"/>
        </w:rPr>
      </w:pPr>
      <w:r w:rsidRPr="000D5932">
        <w:rPr>
          <w:rFonts w:ascii="Calibri" w:eastAsia="Calibri" w:hAnsi="Calibri" w:cs="Calibri"/>
          <w:b/>
          <w:bCs/>
          <w:sz w:val="24"/>
          <w:szCs w:val="24"/>
          <w:lang w:val="en-US"/>
        </w:rPr>
        <w:t xml:space="preserve">Contacto </w:t>
      </w:r>
      <w:proofErr w:type="gramStart"/>
      <w:r w:rsidRPr="000D5932">
        <w:rPr>
          <w:rFonts w:ascii="Calibri" w:eastAsia="Calibri" w:hAnsi="Calibri" w:cs="Calibri"/>
          <w:b/>
          <w:bCs/>
          <w:sz w:val="24"/>
          <w:szCs w:val="24"/>
          <w:lang w:val="en-US"/>
        </w:rPr>
        <w:t>Voices!:</w:t>
      </w:r>
      <w:proofErr w:type="gramEnd"/>
    </w:p>
    <w:p w14:paraId="0CD108C6" w14:textId="77777777" w:rsidR="006D78B9" w:rsidRPr="00D03849" w:rsidRDefault="006D78B9" w:rsidP="006D78B9">
      <w:pPr>
        <w:spacing w:line="278" w:lineRule="auto"/>
        <w:jc w:val="both"/>
        <w:rPr>
          <w:rFonts w:ascii="Calibri" w:eastAsia="Calibri" w:hAnsi="Calibri" w:cs="Calibri"/>
          <w:sz w:val="24"/>
          <w:szCs w:val="24"/>
        </w:rPr>
      </w:pPr>
      <w:r w:rsidRPr="00D03849">
        <w:rPr>
          <w:rFonts w:ascii="Calibri" w:eastAsia="Calibri" w:hAnsi="Calibri" w:cs="Calibri"/>
          <w:sz w:val="24"/>
          <w:szCs w:val="24"/>
        </w:rPr>
        <w:t>Constanza Cilley | Directora Ejecutiva VOICES!</w:t>
      </w:r>
    </w:p>
    <w:p w14:paraId="4A4A545E" w14:textId="77777777" w:rsidR="006D78B9" w:rsidRDefault="006D78B9" w:rsidP="006D78B9">
      <w:pPr>
        <w:spacing w:line="278" w:lineRule="auto"/>
        <w:jc w:val="both"/>
        <w:rPr>
          <w:rFonts w:ascii="Calibri" w:eastAsia="Calibri" w:hAnsi="Calibri" w:cs="Calibri"/>
          <w:sz w:val="24"/>
          <w:szCs w:val="24"/>
        </w:rPr>
      </w:pPr>
      <w:hyperlink r:id="rId10">
        <w:r>
          <w:rPr>
            <w:rFonts w:ascii="Calibri" w:eastAsia="Calibri" w:hAnsi="Calibri" w:cs="Calibri"/>
            <w:color w:val="467886"/>
            <w:sz w:val="24"/>
            <w:szCs w:val="24"/>
            <w:u w:val="single"/>
          </w:rPr>
          <w:t>constanzacilley@voicesconsultancy.com</w:t>
        </w:r>
      </w:hyperlink>
    </w:p>
    <w:p w14:paraId="20937C15" w14:textId="77777777" w:rsidR="006D78B9" w:rsidRDefault="006D78B9" w:rsidP="006D78B9">
      <w:pPr>
        <w:spacing w:line="278" w:lineRule="auto"/>
        <w:jc w:val="both"/>
        <w:rPr>
          <w:rFonts w:ascii="Calibri" w:eastAsia="Calibri" w:hAnsi="Calibri" w:cs="Calibri"/>
          <w:b/>
          <w:bCs/>
          <w:sz w:val="36"/>
          <w:szCs w:val="36"/>
        </w:rPr>
      </w:pPr>
      <w:r>
        <w:rPr>
          <w:rFonts w:ascii="Calibri" w:eastAsia="Calibri" w:hAnsi="Calibri" w:cs="Calibri"/>
          <w:sz w:val="24"/>
          <w:szCs w:val="24"/>
        </w:rPr>
        <w:t>Cel: 1565724467</w:t>
      </w:r>
    </w:p>
    <w:p w14:paraId="6242877D" w14:textId="77777777" w:rsidR="006D78B9" w:rsidRPr="00C263CC" w:rsidRDefault="006D78B9">
      <w:pPr>
        <w:rPr>
          <w:rFonts w:ascii="Calibri" w:eastAsia="Calibri" w:hAnsi="Calibri" w:cs="Calibri"/>
          <w:sz w:val="24"/>
          <w:szCs w:val="24"/>
        </w:rPr>
      </w:pPr>
    </w:p>
    <w:sectPr w:rsidR="006D78B9" w:rsidRPr="00C263C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61BF" w14:textId="77777777" w:rsidR="00496B79" w:rsidRDefault="00496B79" w:rsidP="00AF30C5">
      <w:pPr>
        <w:spacing w:after="0" w:line="240" w:lineRule="auto"/>
      </w:pPr>
      <w:r>
        <w:separator/>
      </w:r>
    </w:p>
  </w:endnote>
  <w:endnote w:type="continuationSeparator" w:id="0">
    <w:p w14:paraId="171953F6" w14:textId="77777777" w:rsidR="00496B79" w:rsidRDefault="00496B79" w:rsidP="00AF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9356" w14:textId="77777777" w:rsidR="00496B79" w:rsidRDefault="00496B79" w:rsidP="00AF30C5">
      <w:pPr>
        <w:spacing w:after="0" w:line="240" w:lineRule="auto"/>
      </w:pPr>
      <w:r>
        <w:separator/>
      </w:r>
    </w:p>
  </w:footnote>
  <w:footnote w:type="continuationSeparator" w:id="0">
    <w:p w14:paraId="3B890518" w14:textId="77777777" w:rsidR="00496B79" w:rsidRDefault="00496B79" w:rsidP="00AF3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B0D6" w14:textId="5FE9694E" w:rsidR="00AF30C5" w:rsidRDefault="00AF30C5">
    <w:pPr>
      <w:pStyle w:val="Encabezado"/>
    </w:pPr>
    <w:r>
      <w:rPr>
        <w:rFonts w:ascii="Aptos" w:eastAsia="Aptos" w:hAnsi="Aptos" w:cs="Aptos"/>
        <w:noProof/>
        <w:sz w:val="24"/>
        <w:szCs w:val="24"/>
      </w:rPr>
      <w:drawing>
        <wp:inline distT="0" distB="0" distL="0" distR="0" wp14:anchorId="79C1D256" wp14:editId="76E40753">
          <wp:extent cx="990600" cy="718374"/>
          <wp:effectExtent l="0" t="0" r="0" b="5715"/>
          <wp:docPr id="2" name="image1.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 nombre de la empresa&#10;&#10;El contenido generado por IA puede ser incorrecto."/>
                  <pic:cNvPicPr preferRelativeResize="0"/>
                </pic:nvPicPr>
                <pic:blipFill>
                  <a:blip r:embed="rId1"/>
                  <a:srcRect/>
                  <a:stretch>
                    <a:fillRect/>
                  </a:stretch>
                </pic:blipFill>
                <pic:spPr>
                  <a:xfrm>
                    <a:off x="0" y="0"/>
                    <a:ext cx="996143" cy="722394"/>
                  </a:xfrm>
                  <a:prstGeom prst="rect">
                    <a:avLst/>
                  </a:prstGeom>
                  <a:ln/>
                </pic:spPr>
              </pic:pic>
            </a:graphicData>
          </a:graphic>
        </wp:inline>
      </w:drawing>
    </w:r>
    <w:r>
      <w:t xml:space="preserve">                                                                                                </w:t>
    </w:r>
    <w:r>
      <w:rPr>
        <w:rFonts w:ascii="Aptos" w:eastAsia="Aptos" w:hAnsi="Aptos" w:cs="Aptos"/>
        <w:noProof/>
        <w:sz w:val="24"/>
        <w:szCs w:val="24"/>
      </w:rPr>
      <w:drawing>
        <wp:inline distT="0" distB="0" distL="0" distR="0" wp14:anchorId="5A4BAADF" wp14:editId="23E72353">
          <wp:extent cx="1492370" cy="494186"/>
          <wp:effectExtent l="0" t="0" r="0" b="1270"/>
          <wp:docPr id="1"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2"/>
                  <a:srcRect/>
                  <a:stretch>
                    <a:fillRect/>
                  </a:stretch>
                </pic:blipFill>
                <pic:spPr>
                  <a:xfrm>
                    <a:off x="0" y="0"/>
                    <a:ext cx="1572174" cy="5206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623B4"/>
    <w:multiLevelType w:val="multilevel"/>
    <w:tmpl w:val="DCB0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F1929"/>
    <w:multiLevelType w:val="multilevel"/>
    <w:tmpl w:val="F66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E411E"/>
    <w:multiLevelType w:val="multilevel"/>
    <w:tmpl w:val="98C8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36512"/>
    <w:multiLevelType w:val="multilevel"/>
    <w:tmpl w:val="5C3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718397">
    <w:abstractNumId w:val="3"/>
  </w:num>
  <w:num w:numId="2" w16cid:durableId="1320763951">
    <w:abstractNumId w:val="1"/>
  </w:num>
  <w:num w:numId="3" w16cid:durableId="1233614305">
    <w:abstractNumId w:val="2"/>
  </w:num>
  <w:num w:numId="4" w16cid:durableId="75998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81"/>
    <w:rsid w:val="00026AD8"/>
    <w:rsid w:val="00033636"/>
    <w:rsid w:val="00051225"/>
    <w:rsid w:val="00054508"/>
    <w:rsid w:val="0006780A"/>
    <w:rsid w:val="000B2BD2"/>
    <w:rsid w:val="000B45BC"/>
    <w:rsid w:val="000D4FEC"/>
    <w:rsid w:val="000D5932"/>
    <w:rsid w:val="000F7ACA"/>
    <w:rsid w:val="001247A3"/>
    <w:rsid w:val="001747F3"/>
    <w:rsid w:val="00183503"/>
    <w:rsid w:val="001A1463"/>
    <w:rsid w:val="001D0112"/>
    <w:rsid w:val="00202A22"/>
    <w:rsid w:val="0020575B"/>
    <w:rsid w:val="00211717"/>
    <w:rsid w:val="00214F89"/>
    <w:rsid w:val="00254D1C"/>
    <w:rsid w:val="002671F7"/>
    <w:rsid w:val="00292900"/>
    <w:rsid w:val="002D6462"/>
    <w:rsid w:val="002F37D0"/>
    <w:rsid w:val="002F7317"/>
    <w:rsid w:val="00305454"/>
    <w:rsid w:val="00343087"/>
    <w:rsid w:val="00354521"/>
    <w:rsid w:val="003614A2"/>
    <w:rsid w:val="003B0DF7"/>
    <w:rsid w:val="003C2290"/>
    <w:rsid w:val="003D4E50"/>
    <w:rsid w:val="003F07B0"/>
    <w:rsid w:val="003F5DDE"/>
    <w:rsid w:val="00433E06"/>
    <w:rsid w:val="004412B9"/>
    <w:rsid w:val="00441967"/>
    <w:rsid w:val="00481559"/>
    <w:rsid w:val="00496B79"/>
    <w:rsid w:val="004A1D13"/>
    <w:rsid w:val="004A7C1F"/>
    <w:rsid w:val="004C2FB5"/>
    <w:rsid w:val="00506381"/>
    <w:rsid w:val="005456C7"/>
    <w:rsid w:val="005722F9"/>
    <w:rsid w:val="005A3097"/>
    <w:rsid w:val="005D5180"/>
    <w:rsid w:val="00615868"/>
    <w:rsid w:val="00623984"/>
    <w:rsid w:val="006752A5"/>
    <w:rsid w:val="006A1A99"/>
    <w:rsid w:val="006A6D09"/>
    <w:rsid w:val="006D78B9"/>
    <w:rsid w:val="00742241"/>
    <w:rsid w:val="00761D40"/>
    <w:rsid w:val="00784E99"/>
    <w:rsid w:val="0079606D"/>
    <w:rsid w:val="007B4138"/>
    <w:rsid w:val="007C7C32"/>
    <w:rsid w:val="008005A9"/>
    <w:rsid w:val="008031B8"/>
    <w:rsid w:val="00806222"/>
    <w:rsid w:val="00830071"/>
    <w:rsid w:val="008871DD"/>
    <w:rsid w:val="00894DBC"/>
    <w:rsid w:val="008A6CA1"/>
    <w:rsid w:val="008D74DC"/>
    <w:rsid w:val="008F4FFC"/>
    <w:rsid w:val="00904762"/>
    <w:rsid w:val="009952ED"/>
    <w:rsid w:val="009A4F61"/>
    <w:rsid w:val="009A570C"/>
    <w:rsid w:val="009C125D"/>
    <w:rsid w:val="009C7846"/>
    <w:rsid w:val="009D080E"/>
    <w:rsid w:val="009E1411"/>
    <w:rsid w:val="009F2061"/>
    <w:rsid w:val="00A7097B"/>
    <w:rsid w:val="00A86C2C"/>
    <w:rsid w:val="00A97411"/>
    <w:rsid w:val="00AA33D5"/>
    <w:rsid w:val="00AB2F81"/>
    <w:rsid w:val="00AF30C5"/>
    <w:rsid w:val="00B05C59"/>
    <w:rsid w:val="00B27479"/>
    <w:rsid w:val="00B46772"/>
    <w:rsid w:val="00B6283C"/>
    <w:rsid w:val="00B67B0C"/>
    <w:rsid w:val="00B843E8"/>
    <w:rsid w:val="00B915AF"/>
    <w:rsid w:val="00C032AF"/>
    <w:rsid w:val="00C13A1F"/>
    <w:rsid w:val="00C263CC"/>
    <w:rsid w:val="00C722D1"/>
    <w:rsid w:val="00CC3B56"/>
    <w:rsid w:val="00CD1671"/>
    <w:rsid w:val="00D37160"/>
    <w:rsid w:val="00D56E7F"/>
    <w:rsid w:val="00E13D4B"/>
    <w:rsid w:val="00E30DA4"/>
    <w:rsid w:val="00E3559E"/>
    <w:rsid w:val="00E81D68"/>
    <w:rsid w:val="00E94094"/>
    <w:rsid w:val="00EF3B62"/>
    <w:rsid w:val="00EF647D"/>
    <w:rsid w:val="00F32D1C"/>
    <w:rsid w:val="00F52646"/>
    <w:rsid w:val="00F75117"/>
    <w:rsid w:val="00F7627B"/>
    <w:rsid w:val="00F96EEE"/>
    <w:rsid w:val="00FA0DB2"/>
    <w:rsid w:val="00FB715D"/>
    <w:rsid w:val="00FB7FC9"/>
    <w:rsid w:val="00FD67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A1F5"/>
  <w15:chartTrackingRefBased/>
  <w15:docId w15:val="{62634003-BCAD-485E-AA7F-CA68B117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2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2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2F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2F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2F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2F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2F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2F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2F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2F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2F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2F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2F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2F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2F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2F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2F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2F81"/>
    <w:rPr>
      <w:rFonts w:eastAsiaTheme="majorEastAsia" w:cstheme="majorBidi"/>
      <w:color w:val="272727" w:themeColor="text1" w:themeTint="D8"/>
    </w:rPr>
  </w:style>
  <w:style w:type="paragraph" w:styleId="Ttulo">
    <w:name w:val="Title"/>
    <w:basedOn w:val="Normal"/>
    <w:next w:val="Normal"/>
    <w:link w:val="TtuloCar"/>
    <w:uiPriority w:val="10"/>
    <w:qFormat/>
    <w:rsid w:val="00AB2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2F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2F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2F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2F81"/>
    <w:pPr>
      <w:spacing w:before="160"/>
      <w:jc w:val="center"/>
    </w:pPr>
    <w:rPr>
      <w:i/>
      <w:iCs/>
      <w:color w:val="404040" w:themeColor="text1" w:themeTint="BF"/>
    </w:rPr>
  </w:style>
  <w:style w:type="character" w:customStyle="1" w:styleId="CitaCar">
    <w:name w:val="Cita Car"/>
    <w:basedOn w:val="Fuentedeprrafopredeter"/>
    <w:link w:val="Cita"/>
    <w:uiPriority w:val="29"/>
    <w:rsid w:val="00AB2F81"/>
    <w:rPr>
      <w:i/>
      <w:iCs/>
      <w:color w:val="404040" w:themeColor="text1" w:themeTint="BF"/>
    </w:rPr>
  </w:style>
  <w:style w:type="paragraph" w:styleId="Prrafodelista">
    <w:name w:val="List Paragraph"/>
    <w:basedOn w:val="Normal"/>
    <w:uiPriority w:val="34"/>
    <w:qFormat/>
    <w:rsid w:val="00AB2F81"/>
    <w:pPr>
      <w:ind w:left="720"/>
      <w:contextualSpacing/>
    </w:pPr>
  </w:style>
  <w:style w:type="character" w:styleId="nfasisintenso">
    <w:name w:val="Intense Emphasis"/>
    <w:basedOn w:val="Fuentedeprrafopredeter"/>
    <w:uiPriority w:val="21"/>
    <w:qFormat/>
    <w:rsid w:val="00AB2F81"/>
    <w:rPr>
      <w:i/>
      <w:iCs/>
      <w:color w:val="0F4761" w:themeColor="accent1" w:themeShade="BF"/>
    </w:rPr>
  </w:style>
  <w:style w:type="paragraph" w:styleId="Citadestacada">
    <w:name w:val="Intense Quote"/>
    <w:basedOn w:val="Normal"/>
    <w:next w:val="Normal"/>
    <w:link w:val="CitadestacadaCar"/>
    <w:uiPriority w:val="30"/>
    <w:qFormat/>
    <w:rsid w:val="00AB2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2F81"/>
    <w:rPr>
      <w:i/>
      <w:iCs/>
      <w:color w:val="0F4761" w:themeColor="accent1" w:themeShade="BF"/>
    </w:rPr>
  </w:style>
  <w:style w:type="character" w:styleId="Referenciaintensa">
    <w:name w:val="Intense Reference"/>
    <w:basedOn w:val="Fuentedeprrafopredeter"/>
    <w:uiPriority w:val="32"/>
    <w:qFormat/>
    <w:rsid w:val="00AB2F81"/>
    <w:rPr>
      <w:b/>
      <w:bCs/>
      <w:smallCaps/>
      <w:color w:val="0F4761" w:themeColor="accent1" w:themeShade="BF"/>
      <w:spacing w:val="5"/>
    </w:rPr>
  </w:style>
  <w:style w:type="paragraph" w:styleId="Encabezado">
    <w:name w:val="header"/>
    <w:basedOn w:val="Normal"/>
    <w:link w:val="EncabezadoCar"/>
    <w:uiPriority w:val="99"/>
    <w:unhideWhenUsed/>
    <w:rsid w:val="00AF30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30C5"/>
  </w:style>
  <w:style w:type="paragraph" w:styleId="Piedepgina">
    <w:name w:val="footer"/>
    <w:basedOn w:val="Normal"/>
    <w:link w:val="PiedepginaCar"/>
    <w:uiPriority w:val="99"/>
    <w:unhideWhenUsed/>
    <w:rsid w:val="00AF30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30C5"/>
  </w:style>
  <w:style w:type="character" w:styleId="Refdecomentario">
    <w:name w:val="annotation reference"/>
    <w:basedOn w:val="Fuentedeprrafopredeter"/>
    <w:uiPriority w:val="99"/>
    <w:semiHidden/>
    <w:unhideWhenUsed/>
    <w:rsid w:val="00AF30C5"/>
    <w:rPr>
      <w:sz w:val="16"/>
      <w:szCs w:val="16"/>
    </w:rPr>
  </w:style>
  <w:style w:type="paragraph" w:styleId="Textocomentario">
    <w:name w:val="annotation text"/>
    <w:basedOn w:val="Normal"/>
    <w:link w:val="TextocomentarioCar"/>
    <w:uiPriority w:val="99"/>
    <w:unhideWhenUsed/>
    <w:rsid w:val="00AF30C5"/>
    <w:pPr>
      <w:spacing w:line="240" w:lineRule="auto"/>
    </w:pPr>
    <w:rPr>
      <w:sz w:val="20"/>
      <w:szCs w:val="20"/>
    </w:rPr>
  </w:style>
  <w:style w:type="character" w:customStyle="1" w:styleId="TextocomentarioCar">
    <w:name w:val="Texto comentario Car"/>
    <w:basedOn w:val="Fuentedeprrafopredeter"/>
    <w:link w:val="Textocomentario"/>
    <w:uiPriority w:val="99"/>
    <w:rsid w:val="00AF30C5"/>
    <w:rPr>
      <w:sz w:val="20"/>
      <w:szCs w:val="20"/>
    </w:rPr>
  </w:style>
  <w:style w:type="paragraph" w:styleId="Asuntodelcomentario">
    <w:name w:val="annotation subject"/>
    <w:basedOn w:val="Textocomentario"/>
    <w:next w:val="Textocomentario"/>
    <w:link w:val="AsuntodelcomentarioCar"/>
    <w:uiPriority w:val="99"/>
    <w:semiHidden/>
    <w:unhideWhenUsed/>
    <w:rsid w:val="00AF30C5"/>
    <w:rPr>
      <w:b/>
      <w:bCs/>
    </w:rPr>
  </w:style>
  <w:style w:type="character" w:customStyle="1" w:styleId="AsuntodelcomentarioCar">
    <w:name w:val="Asunto del comentario Car"/>
    <w:basedOn w:val="TextocomentarioCar"/>
    <w:link w:val="Asuntodelcomentario"/>
    <w:uiPriority w:val="99"/>
    <w:semiHidden/>
    <w:rsid w:val="00AF30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stanzacilley@voicesconsultancy.com" TargetMode="External"/><Relationship Id="rId4" Type="http://schemas.openxmlformats.org/officeDocument/2006/relationships/webSettings" Target="webSettings.xml"/><Relationship Id="rId9" Type="http://schemas.openxmlformats.org/officeDocument/2006/relationships/hyperlink" Target="http://www.voicesconsultanc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397746514248605E-2"/>
          <c:y val="0.12061147124753684"/>
          <c:w val="0.95093072679761137"/>
          <c:h val="0.66388232218005261"/>
        </c:manualLayout>
      </c:layout>
      <c:barChart>
        <c:barDir val="col"/>
        <c:grouping val="percentStacked"/>
        <c:varyColors val="0"/>
        <c:ser>
          <c:idx val="0"/>
          <c:order val="0"/>
          <c:tx>
            <c:strRef>
              <c:f>Hoja1!$B$1</c:f>
              <c:strCache>
                <c:ptCount val="1"/>
                <c:pt idx="0">
                  <c:v>Totalmente de acuerdo + Algo de acuerdo</c:v>
                </c:pt>
              </c:strCache>
            </c:strRef>
          </c:tx>
          <c:spPr>
            <a:solidFill>
              <a:srgbClr val="00B050"/>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s-A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Hoja1!$A$2:$A$46</c:f>
              <c:strCache>
                <c:ptCount val="45"/>
                <c:pt idx="0">
                  <c:v>GLOBAL</c:v>
                </c:pt>
                <c:pt idx="1">
                  <c:v>Corea del Sur</c:v>
                </c:pt>
                <c:pt idx="2">
                  <c:v>Filipinas</c:v>
                </c:pt>
                <c:pt idx="3">
                  <c:v>Tailandia</c:v>
                </c:pt>
                <c:pt idx="4">
                  <c:v>Ecuador</c:v>
                </c:pt>
                <c:pt idx="5">
                  <c:v>México</c:v>
                </c:pt>
                <c:pt idx="6">
                  <c:v>Colombia</c:v>
                </c:pt>
                <c:pt idx="7">
                  <c:v>Malasia</c:v>
                </c:pt>
                <c:pt idx="8">
                  <c:v>Pakistán</c:v>
                </c:pt>
                <c:pt idx="9">
                  <c:v>Argentina</c:v>
                </c:pt>
                <c:pt idx="10">
                  <c:v>India</c:v>
                </c:pt>
                <c:pt idx="11">
                  <c:v>Perú</c:v>
                </c:pt>
                <c:pt idx="12">
                  <c:v>Paraguay</c:v>
                </c:pt>
                <c:pt idx="13">
                  <c:v>Chile</c:v>
                </c:pt>
                <c:pt idx="14">
                  <c:v>Venezuela</c:v>
                </c:pt>
                <c:pt idx="15">
                  <c:v>Costa de Marfil</c:v>
                </c:pt>
                <c:pt idx="16">
                  <c:v>Brasil</c:v>
                </c:pt>
                <c:pt idx="17">
                  <c:v>Marruecos</c:v>
                </c:pt>
                <c:pt idx="18">
                  <c:v>Hong Kong</c:v>
                </c:pt>
                <c:pt idx="19">
                  <c:v>Indonesia</c:v>
                </c:pt>
                <c:pt idx="20">
                  <c:v>Serbia</c:v>
                </c:pt>
                <c:pt idx="21">
                  <c:v>España</c:v>
                </c:pt>
                <c:pt idx="22">
                  <c:v>Alemania</c:v>
                </c:pt>
                <c:pt idx="23">
                  <c:v>Reino Unido</c:v>
                </c:pt>
                <c:pt idx="24">
                  <c:v>Grecia</c:v>
                </c:pt>
                <c:pt idx="25">
                  <c:v>Turquía</c:v>
                </c:pt>
                <c:pt idx="26">
                  <c:v>Australia</c:v>
                </c:pt>
                <c:pt idx="27">
                  <c:v>Irlanda</c:v>
                </c:pt>
                <c:pt idx="28">
                  <c:v>Japón</c:v>
                </c:pt>
                <c:pt idx="29">
                  <c:v>Francia</c:v>
                </c:pt>
                <c:pt idx="30">
                  <c:v>Finlandia</c:v>
                </c:pt>
                <c:pt idx="31">
                  <c:v>China</c:v>
                </c:pt>
                <c:pt idx="32">
                  <c:v>Canadá</c:v>
                </c:pt>
                <c:pt idx="33">
                  <c:v>Croacia</c:v>
                </c:pt>
                <c:pt idx="34">
                  <c:v>Italia</c:v>
                </c:pt>
                <c:pt idx="35">
                  <c:v>Dinamarca</c:v>
                </c:pt>
                <c:pt idx="36">
                  <c:v>Estados Unidos</c:v>
                </c:pt>
                <c:pt idx="37">
                  <c:v>Polonia</c:v>
                </c:pt>
                <c:pt idx="38">
                  <c:v>Eslovenia</c:v>
                </c:pt>
                <c:pt idx="39">
                  <c:v>Noruega</c:v>
                </c:pt>
                <c:pt idx="40">
                  <c:v>Letonia</c:v>
                </c:pt>
                <c:pt idx="41">
                  <c:v>Eslovaquia</c:v>
                </c:pt>
                <c:pt idx="42">
                  <c:v>Vietnam</c:v>
                </c:pt>
                <c:pt idx="43">
                  <c:v>Suecia</c:v>
                </c:pt>
                <c:pt idx="44">
                  <c:v>Países Bajos</c:v>
                </c:pt>
              </c:strCache>
            </c:strRef>
          </c:cat>
          <c:val>
            <c:numRef>
              <c:f>Hoja1!$B$2:$B$46</c:f>
              <c:numCache>
                <c:formatCode>###0%</c:formatCode>
                <c:ptCount val="45"/>
                <c:pt idx="0">
                  <c:v>0.61773578982219812</c:v>
                </c:pt>
                <c:pt idx="1">
                  <c:v>0.855654934480926</c:v>
                </c:pt>
                <c:pt idx="2">
                  <c:v>0.7891013817396364</c:v>
                </c:pt>
                <c:pt idx="3">
                  <c:v>0.7857205190465717</c:v>
                </c:pt>
                <c:pt idx="4">
                  <c:v>0.77729123679270284</c:v>
                </c:pt>
                <c:pt idx="5">
                  <c:v>0.76538567151730741</c:v>
                </c:pt>
                <c:pt idx="6">
                  <c:v>0.76444826124988741</c:v>
                </c:pt>
                <c:pt idx="7">
                  <c:v>0.75603710121376977</c:v>
                </c:pt>
                <c:pt idx="8">
                  <c:v>0.74833414046466995</c:v>
                </c:pt>
                <c:pt idx="9">
                  <c:v>0.74653513621883105</c:v>
                </c:pt>
                <c:pt idx="10">
                  <c:v>0.73299999999999998</c:v>
                </c:pt>
                <c:pt idx="11">
                  <c:v>0.7246256239600648</c:v>
                </c:pt>
                <c:pt idx="12">
                  <c:v>0.72415269937012705</c:v>
                </c:pt>
                <c:pt idx="13">
                  <c:v>0.71812601274288879</c:v>
                </c:pt>
                <c:pt idx="14">
                  <c:v>0.68484108849186254</c:v>
                </c:pt>
                <c:pt idx="15">
                  <c:v>0.67729083665338541</c:v>
                </c:pt>
                <c:pt idx="16">
                  <c:v>0.66649706402289621</c:v>
                </c:pt>
                <c:pt idx="17">
                  <c:v>0.66173361522198615</c:v>
                </c:pt>
                <c:pt idx="18">
                  <c:v>0.65200000000000002</c:v>
                </c:pt>
                <c:pt idx="19">
                  <c:v>0.64419748899711626</c:v>
                </c:pt>
                <c:pt idx="20">
                  <c:v>0.64043922694193478</c:v>
                </c:pt>
                <c:pt idx="21">
                  <c:v>0.60684871197744705</c:v>
                </c:pt>
                <c:pt idx="22">
                  <c:v>0.60285132382890982</c:v>
                </c:pt>
                <c:pt idx="23">
                  <c:v>0.58623405128720985</c:v>
                </c:pt>
                <c:pt idx="24">
                  <c:v>0.57768924302788704</c:v>
                </c:pt>
                <c:pt idx="25">
                  <c:v>0.57704180994036414</c:v>
                </c:pt>
                <c:pt idx="26">
                  <c:v>0.57685654469394154</c:v>
                </c:pt>
                <c:pt idx="27">
                  <c:v>0.56376013496890842</c:v>
                </c:pt>
                <c:pt idx="28">
                  <c:v>0.55893996151297209</c:v>
                </c:pt>
                <c:pt idx="29">
                  <c:v>0.55641297157967551</c:v>
                </c:pt>
                <c:pt idx="30">
                  <c:v>0.55088004664951051</c:v>
                </c:pt>
                <c:pt idx="31">
                  <c:v>0.54900000000000004</c:v>
                </c:pt>
                <c:pt idx="32">
                  <c:v>0.54382760250583229</c:v>
                </c:pt>
                <c:pt idx="33">
                  <c:v>0.54380022096109248</c:v>
                </c:pt>
                <c:pt idx="34">
                  <c:v>0.54259671195182269</c:v>
                </c:pt>
                <c:pt idx="35">
                  <c:v>0.5416385189297046</c:v>
                </c:pt>
                <c:pt idx="36">
                  <c:v>0.53087020793970641</c:v>
                </c:pt>
                <c:pt idx="37">
                  <c:v>0.50487386060563821</c:v>
                </c:pt>
                <c:pt idx="38">
                  <c:v>0.4920926608172202</c:v>
                </c:pt>
                <c:pt idx="39">
                  <c:v>0.47394166559771134</c:v>
                </c:pt>
                <c:pt idx="40">
                  <c:v>0.4511410153834291</c:v>
                </c:pt>
                <c:pt idx="41">
                  <c:v>0.45011347817482855</c:v>
                </c:pt>
                <c:pt idx="42">
                  <c:v>0.44001423426164649</c:v>
                </c:pt>
                <c:pt idx="43">
                  <c:v>0.43032539942201337</c:v>
                </c:pt>
                <c:pt idx="44">
                  <c:v>0.41320685745261571</c:v>
                </c:pt>
              </c:numCache>
            </c:numRef>
          </c:val>
          <c:extLst>
            <c:ext xmlns:c16="http://schemas.microsoft.com/office/drawing/2014/chart" uri="{C3380CC4-5D6E-409C-BE32-E72D297353CC}">
              <c16:uniqueId val="{00000000-C523-4881-89D3-4431DE412DA3}"/>
            </c:ext>
          </c:extLst>
        </c:ser>
        <c:ser>
          <c:idx val="1"/>
          <c:order val="1"/>
          <c:tx>
            <c:strRef>
              <c:f>Hoja1!$C$1</c:f>
              <c:strCache>
                <c:ptCount val="1"/>
                <c:pt idx="0">
                  <c:v>Totalmente en desacuerdo + Algo en desacuerdo</c:v>
                </c:pt>
              </c:strCache>
            </c:strRef>
          </c:tx>
          <c:spPr>
            <a:solidFill>
              <a:srgbClr val="D7DF23"/>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s-A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Hoja1!$A$2:$A$46</c:f>
              <c:strCache>
                <c:ptCount val="45"/>
                <c:pt idx="0">
                  <c:v>GLOBAL</c:v>
                </c:pt>
                <c:pt idx="1">
                  <c:v>Corea del Sur</c:v>
                </c:pt>
                <c:pt idx="2">
                  <c:v>Filipinas</c:v>
                </c:pt>
                <c:pt idx="3">
                  <c:v>Tailandia</c:v>
                </c:pt>
                <c:pt idx="4">
                  <c:v>Ecuador</c:v>
                </c:pt>
                <c:pt idx="5">
                  <c:v>México</c:v>
                </c:pt>
                <c:pt idx="6">
                  <c:v>Colombia</c:v>
                </c:pt>
                <c:pt idx="7">
                  <c:v>Malasia</c:v>
                </c:pt>
                <c:pt idx="8">
                  <c:v>Pakistán</c:v>
                </c:pt>
                <c:pt idx="9">
                  <c:v>Argentina</c:v>
                </c:pt>
                <c:pt idx="10">
                  <c:v>India</c:v>
                </c:pt>
                <c:pt idx="11">
                  <c:v>Perú</c:v>
                </c:pt>
                <c:pt idx="12">
                  <c:v>Paraguay</c:v>
                </c:pt>
                <c:pt idx="13">
                  <c:v>Chile</c:v>
                </c:pt>
                <c:pt idx="14">
                  <c:v>Venezuela</c:v>
                </c:pt>
                <c:pt idx="15">
                  <c:v>Costa de Marfil</c:v>
                </c:pt>
                <c:pt idx="16">
                  <c:v>Brasil</c:v>
                </c:pt>
                <c:pt idx="17">
                  <c:v>Marruecos</c:v>
                </c:pt>
                <c:pt idx="18">
                  <c:v>Hong Kong</c:v>
                </c:pt>
                <c:pt idx="19">
                  <c:v>Indonesia</c:v>
                </c:pt>
                <c:pt idx="20">
                  <c:v>Serbia</c:v>
                </c:pt>
                <c:pt idx="21">
                  <c:v>España</c:v>
                </c:pt>
                <c:pt idx="22">
                  <c:v>Alemania</c:v>
                </c:pt>
                <c:pt idx="23">
                  <c:v>Reino Unido</c:v>
                </c:pt>
                <c:pt idx="24">
                  <c:v>Grecia</c:v>
                </c:pt>
                <c:pt idx="25">
                  <c:v>Turquía</c:v>
                </c:pt>
                <c:pt idx="26">
                  <c:v>Australia</c:v>
                </c:pt>
                <c:pt idx="27">
                  <c:v>Irlanda</c:v>
                </c:pt>
                <c:pt idx="28">
                  <c:v>Japón</c:v>
                </c:pt>
                <c:pt idx="29">
                  <c:v>Francia</c:v>
                </c:pt>
                <c:pt idx="30">
                  <c:v>Finlandia</c:v>
                </c:pt>
                <c:pt idx="31">
                  <c:v>China</c:v>
                </c:pt>
                <c:pt idx="32">
                  <c:v>Canadá</c:v>
                </c:pt>
                <c:pt idx="33">
                  <c:v>Croacia</c:v>
                </c:pt>
                <c:pt idx="34">
                  <c:v>Italia</c:v>
                </c:pt>
                <c:pt idx="35">
                  <c:v>Dinamarca</c:v>
                </c:pt>
                <c:pt idx="36">
                  <c:v>Estados Unidos</c:v>
                </c:pt>
                <c:pt idx="37">
                  <c:v>Polonia</c:v>
                </c:pt>
                <c:pt idx="38">
                  <c:v>Eslovenia</c:v>
                </c:pt>
                <c:pt idx="39">
                  <c:v>Noruega</c:v>
                </c:pt>
                <c:pt idx="40">
                  <c:v>Letonia</c:v>
                </c:pt>
                <c:pt idx="41">
                  <c:v>Eslovaquia</c:v>
                </c:pt>
                <c:pt idx="42">
                  <c:v>Vietnam</c:v>
                </c:pt>
                <c:pt idx="43">
                  <c:v>Suecia</c:v>
                </c:pt>
                <c:pt idx="44">
                  <c:v>Países Bajos</c:v>
                </c:pt>
              </c:strCache>
            </c:strRef>
          </c:cat>
          <c:val>
            <c:numRef>
              <c:f>Hoja1!$C$2:$C$46</c:f>
              <c:numCache>
                <c:formatCode>###0%</c:formatCode>
                <c:ptCount val="45"/>
                <c:pt idx="0">
                  <c:v>0.32957329274573621</c:v>
                </c:pt>
                <c:pt idx="1">
                  <c:v>0.13178905846335937</c:v>
                </c:pt>
                <c:pt idx="2">
                  <c:v>0.20129839026207275</c:v>
                </c:pt>
                <c:pt idx="3">
                  <c:v>0.2142794809534278</c:v>
                </c:pt>
                <c:pt idx="4">
                  <c:v>0.188052914654666</c:v>
                </c:pt>
                <c:pt idx="5">
                  <c:v>0.2217832274891082</c:v>
                </c:pt>
                <c:pt idx="6">
                  <c:v>0.22698402497280493</c:v>
                </c:pt>
                <c:pt idx="7">
                  <c:v>0.21305702970074591</c:v>
                </c:pt>
                <c:pt idx="8">
                  <c:v>0.20305904857297055</c:v>
                </c:pt>
                <c:pt idx="9">
                  <c:v>0.19042963786844513</c:v>
                </c:pt>
                <c:pt idx="10">
                  <c:v>0.248</c:v>
                </c:pt>
                <c:pt idx="11">
                  <c:v>0.23627287853576928</c:v>
                </c:pt>
                <c:pt idx="12">
                  <c:v>0.21073652506145352</c:v>
                </c:pt>
                <c:pt idx="13">
                  <c:v>0.24755789312173992</c:v>
                </c:pt>
                <c:pt idx="14">
                  <c:v>0.28776652887405396</c:v>
                </c:pt>
                <c:pt idx="15">
                  <c:v>0.30677290836653148</c:v>
                </c:pt>
                <c:pt idx="16">
                  <c:v>0.25632711539583863</c:v>
                </c:pt>
                <c:pt idx="17">
                  <c:v>0.30232558139534643</c:v>
                </c:pt>
                <c:pt idx="18">
                  <c:v>0.32400000000000001</c:v>
                </c:pt>
                <c:pt idx="19">
                  <c:v>0.34430423064318061</c:v>
                </c:pt>
                <c:pt idx="20">
                  <c:v>0.316704512012765</c:v>
                </c:pt>
                <c:pt idx="21">
                  <c:v>0.33672594900822811</c:v>
                </c:pt>
                <c:pt idx="22">
                  <c:v>0.36965376782076476</c:v>
                </c:pt>
                <c:pt idx="23">
                  <c:v>0.32436100429767484</c:v>
                </c:pt>
                <c:pt idx="24">
                  <c:v>0.3745019920318704</c:v>
                </c:pt>
                <c:pt idx="25">
                  <c:v>0.39152045166890309</c:v>
                </c:pt>
                <c:pt idx="26">
                  <c:v>0.37649920011796945</c:v>
                </c:pt>
                <c:pt idx="27">
                  <c:v>0.35155147799187092</c:v>
                </c:pt>
                <c:pt idx="28">
                  <c:v>0.31287660972392706</c:v>
                </c:pt>
                <c:pt idx="29">
                  <c:v>0.38320772861615426</c:v>
                </c:pt>
                <c:pt idx="30">
                  <c:v>0.38137592794681457</c:v>
                </c:pt>
                <c:pt idx="31">
                  <c:v>0.44400000000000001</c:v>
                </c:pt>
                <c:pt idx="32">
                  <c:v>0.37462964340309185</c:v>
                </c:pt>
                <c:pt idx="33">
                  <c:v>0.42011038558287678</c:v>
                </c:pt>
                <c:pt idx="34">
                  <c:v>0.38354201457546877</c:v>
                </c:pt>
                <c:pt idx="35">
                  <c:v>0.35749308711906197</c:v>
                </c:pt>
                <c:pt idx="36">
                  <c:v>0.35413455213308881</c:v>
                </c:pt>
                <c:pt idx="37">
                  <c:v>0.33915544906745898</c:v>
                </c:pt>
                <c:pt idx="38">
                  <c:v>0.47942679853489589</c:v>
                </c:pt>
                <c:pt idx="39">
                  <c:v>0.44959965518712003</c:v>
                </c:pt>
                <c:pt idx="40">
                  <c:v>0.4309186981182867</c:v>
                </c:pt>
                <c:pt idx="41">
                  <c:v>0.45753587126822981</c:v>
                </c:pt>
                <c:pt idx="42">
                  <c:v>0.543436253688235</c:v>
                </c:pt>
                <c:pt idx="43">
                  <c:v>0.54122552138366942</c:v>
                </c:pt>
                <c:pt idx="44">
                  <c:v>0.45224456218108339</c:v>
                </c:pt>
              </c:numCache>
            </c:numRef>
          </c:val>
          <c:extLst>
            <c:ext xmlns:c16="http://schemas.microsoft.com/office/drawing/2014/chart" uri="{C3380CC4-5D6E-409C-BE32-E72D297353CC}">
              <c16:uniqueId val="{00000001-C523-4881-89D3-4431DE412DA3}"/>
            </c:ext>
          </c:extLst>
        </c:ser>
        <c:ser>
          <c:idx val="2"/>
          <c:order val="2"/>
          <c:tx>
            <c:strRef>
              <c:f>Hoja1!$D$1</c:f>
              <c:strCache>
                <c:ptCount val="1"/>
                <c:pt idx="0">
                  <c:v>No sabe</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s-A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Hoja1!$A$2:$A$46</c:f>
              <c:strCache>
                <c:ptCount val="45"/>
                <c:pt idx="0">
                  <c:v>GLOBAL</c:v>
                </c:pt>
                <c:pt idx="1">
                  <c:v>Corea del Sur</c:v>
                </c:pt>
                <c:pt idx="2">
                  <c:v>Filipinas</c:v>
                </c:pt>
                <c:pt idx="3">
                  <c:v>Tailandia</c:v>
                </c:pt>
                <c:pt idx="4">
                  <c:v>Ecuador</c:v>
                </c:pt>
                <c:pt idx="5">
                  <c:v>México</c:v>
                </c:pt>
                <c:pt idx="6">
                  <c:v>Colombia</c:v>
                </c:pt>
                <c:pt idx="7">
                  <c:v>Malasia</c:v>
                </c:pt>
                <c:pt idx="8">
                  <c:v>Pakistán</c:v>
                </c:pt>
                <c:pt idx="9">
                  <c:v>Argentina</c:v>
                </c:pt>
                <c:pt idx="10">
                  <c:v>India</c:v>
                </c:pt>
                <c:pt idx="11">
                  <c:v>Perú</c:v>
                </c:pt>
                <c:pt idx="12">
                  <c:v>Paraguay</c:v>
                </c:pt>
                <c:pt idx="13">
                  <c:v>Chile</c:v>
                </c:pt>
                <c:pt idx="14">
                  <c:v>Venezuela</c:v>
                </c:pt>
                <c:pt idx="15">
                  <c:v>Costa de Marfil</c:v>
                </c:pt>
                <c:pt idx="16">
                  <c:v>Brasil</c:v>
                </c:pt>
                <c:pt idx="17">
                  <c:v>Marruecos</c:v>
                </c:pt>
                <c:pt idx="18">
                  <c:v>Hong Kong</c:v>
                </c:pt>
                <c:pt idx="19">
                  <c:v>Indonesia</c:v>
                </c:pt>
                <c:pt idx="20">
                  <c:v>Serbia</c:v>
                </c:pt>
                <c:pt idx="21">
                  <c:v>España</c:v>
                </c:pt>
                <c:pt idx="22">
                  <c:v>Alemania</c:v>
                </c:pt>
                <c:pt idx="23">
                  <c:v>Reino Unido</c:v>
                </c:pt>
                <c:pt idx="24">
                  <c:v>Grecia</c:v>
                </c:pt>
                <c:pt idx="25">
                  <c:v>Turquía</c:v>
                </c:pt>
                <c:pt idx="26">
                  <c:v>Australia</c:v>
                </c:pt>
                <c:pt idx="27">
                  <c:v>Irlanda</c:v>
                </c:pt>
                <c:pt idx="28">
                  <c:v>Japón</c:v>
                </c:pt>
                <c:pt idx="29">
                  <c:v>Francia</c:v>
                </c:pt>
                <c:pt idx="30">
                  <c:v>Finlandia</c:v>
                </c:pt>
                <c:pt idx="31">
                  <c:v>China</c:v>
                </c:pt>
                <c:pt idx="32">
                  <c:v>Canadá</c:v>
                </c:pt>
                <c:pt idx="33">
                  <c:v>Croacia</c:v>
                </c:pt>
                <c:pt idx="34">
                  <c:v>Italia</c:v>
                </c:pt>
                <c:pt idx="35">
                  <c:v>Dinamarca</c:v>
                </c:pt>
                <c:pt idx="36">
                  <c:v>Estados Unidos</c:v>
                </c:pt>
                <c:pt idx="37">
                  <c:v>Polonia</c:v>
                </c:pt>
                <c:pt idx="38">
                  <c:v>Eslovenia</c:v>
                </c:pt>
                <c:pt idx="39">
                  <c:v>Noruega</c:v>
                </c:pt>
                <c:pt idx="40">
                  <c:v>Letonia</c:v>
                </c:pt>
                <c:pt idx="41">
                  <c:v>Eslovaquia</c:v>
                </c:pt>
                <c:pt idx="42">
                  <c:v>Vietnam</c:v>
                </c:pt>
                <c:pt idx="43">
                  <c:v>Suecia</c:v>
                </c:pt>
                <c:pt idx="44">
                  <c:v>Países Bajos</c:v>
                </c:pt>
              </c:strCache>
            </c:strRef>
          </c:cat>
          <c:val>
            <c:numRef>
              <c:f>Hoja1!$D$2:$D$46</c:f>
              <c:numCache>
                <c:formatCode>###0%</c:formatCode>
                <c:ptCount val="45"/>
                <c:pt idx="0">
                  <c:v>5.2690917431959423E-2</c:v>
                </c:pt>
                <c:pt idx="1">
                  <c:v>1.2556007055716184E-2</c:v>
                </c:pt>
                <c:pt idx="2">
                  <c:v>9.6002279982899934E-3</c:v>
                </c:pt>
                <c:pt idx="3" formatCode="General">
                  <c:v>0</c:v>
                </c:pt>
                <c:pt idx="4">
                  <c:v>3.4655848552630514E-2</c:v>
                </c:pt>
                <c:pt idx="5">
                  <c:v>1.2831100993584432E-2</c:v>
                </c:pt>
                <c:pt idx="6">
                  <c:v>8.5677137773062309E-3</c:v>
                </c:pt>
                <c:pt idx="7">
                  <c:v>3.090586908548552E-2</c:v>
                </c:pt>
                <c:pt idx="8">
                  <c:v>4.8606810962357055E-2</c:v>
                </c:pt>
                <c:pt idx="9">
                  <c:v>6.3035225912724105E-2</c:v>
                </c:pt>
                <c:pt idx="10">
                  <c:v>1.9E-2</c:v>
                </c:pt>
                <c:pt idx="11">
                  <c:v>3.9101497504159199E-2</c:v>
                </c:pt>
                <c:pt idx="12">
                  <c:v>6.5110775568419502E-2</c:v>
                </c:pt>
                <c:pt idx="13">
                  <c:v>3.4316094135375043E-2</c:v>
                </c:pt>
                <c:pt idx="14">
                  <c:v>2.7392382634083431E-2</c:v>
                </c:pt>
                <c:pt idx="15">
                  <c:v>1.5936254980079549E-2</c:v>
                </c:pt>
                <c:pt idx="16">
                  <c:v>7.7175820581264043E-2</c:v>
                </c:pt>
                <c:pt idx="17">
                  <c:v>3.594080338266354E-2</c:v>
                </c:pt>
                <c:pt idx="18">
                  <c:v>2.4E-2</c:v>
                </c:pt>
                <c:pt idx="19">
                  <c:v>1.1498280359702075E-2</c:v>
                </c:pt>
                <c:pt idx="20">
                  <c:v>4.2856261045302081E-2</c:v>
                </c:pt>
                <c:pt idx="21">
                  <c:v>5.6425339014324602E-2</c:v>
                </c:pt>
                <c:pt idx="22">
                  <c:v>2.7494908350304974E-2</c:v>
                </c:pt>
                <c:pt idx="23">
                  <c:v>8.9404944415124504E-2</c:v>
                </c:pt>
                <c:pt idx="24">
                  <c:v>4.7808764940238682E-2</c:v>
                </c:pt>
                <c:pt idx="25">
                  <c:v>3.1437738390730031E-2</c:v>
                </c:pt>
                <c:pt idx="26">
                  <c:v>4.6644255188088325E-2</c:v>
                </c:pt>
                <c:pt idx="27">
                  <c:v>8.4688387039220825E-2</c:v>
                </c:pt>
                <c:pt idx="28">
                  <c:v>0.12818342876309727</c:v>
                </c:pt>
                <c:pt idx="29">
                  <c:v>6.0379299804169936E-2</c:v>
                </c:pt>
                <c:pt idx="30">
                  <c:v>6.7744025403678243E-2</c:v>
                </c:pt>
                <c:pt idx="31">
                  <c:v>7.000000000000001E-3</c:v>
                </c:pt>
                <c:pt idx="32">
                  <c:v>8.1542754091078778E-2</c:v>
                </c:pt>
                <c:pt idx="33">
                  <c:v>3.6089393456030967E-2</c:v>
                </c:pt>
                <c:pt idx="34">
                  <c:v>7.3861273472710279E-2</c:v>
                </c:pt>
                <c:pt idx="35">
                  <c:v>0.10086839395123558</c:v>
                </c:pt>
                <c:pt idx="36">
                  <c:v>0.11499523992720417</c:v>
                </c:pt>
                <c:pt idx="37">
                  <c:v>0.15597069032690311</c:v>
                </c:pt>
                <c:pt idx="38">
                  <c:v>2.8480540647886451E-2</c:v>
                </c:pt>
                <c:pt idx="39">
                  <c:v>7.6458679215167233E-2</c:v>
                </c:pt>
                <c:pt idx="40">
                  <c:v>0.11794028649828317</c:v>
                </c:pt>
                <c:pt idx="41">
                  <c:v>9.2350650556941277E-2</c:v>
                </c:pt>
                <c:pt idx="42">
                  <c:v>1.6549512050120927E-2</c:v>
                </c:pt>
                <c:pt idx="43">
                  <c:v>2.8449079194319195E-2</c:v>
                </c:pt>
                <c:pt idx="44">
                  <c:v>0.1345485803663046</c:v>
                </c:pt>
              </c:numCache>
            </c:numRef>
          </c:val>
          <c:extLst>
            <c:ext xmlns:c16="http://schemas.microsoft.com/office/drawing/2014/chart" uri="{C3380CC4-5D6E-409C-BE32-E72D297353CC}">
              <c16:uniqueId val="{00000002-C523-4881-89D3-4431DE412DA3}"/>
            </c:ext>
          </c:extLst>
        </c:ser>
        <c:dLbls>
          <c:dLblPos val="ctr"/>
          <c:showLegendKey val="0"/>
          <c:showVal val="1"/>
          <c:showCatName val="0"/>
          <c:showSerName val="0"/>
          <c:showPercent val="0"/>
          <c:showBubbleSize val="0"/>
        </c:dLbls>
        <c:gapWidth val="150"/>
        <c:overlap val="100"/>
        <c:axId val="1580941968"/>
        <c:axId val="1580943408"/>
      </c:barChart>
      <c:catAx>
        <c:axId val="158094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AR"/>
          </a:p>
        </c:txPr>
        <c:crossAx val="1580943408"/>
        <c:crosses val="autoZero"/>
        <c:auto val="1"/>
        <c:lblAlgn val="ctr"/>
        <c:lblOffset val="100"/>
        <c:noMultiLvlLbl val="0"/>
      </c:catAx>
      <c:valAx>
        <c:axId val="1580943408"/>
        <c:scaling>
          <c:orientation val="minMax"/>
        </c:scaling>
        <c:delete val="1"/>
        <c:axPos val="l"/>
        <c:numFmt formatCode="0%" sourceLinked="1"/>
        <c:majorTickMark val="none"/>
        <c:minorTickMark val="none"/>
        <c:tickLblPos val="nextTo"/>
        <c:crossAx val="1580941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Calibri" panose="020F0502020204030204" pitchFamily="34" charset="0"/>
          <a:cs typeface="Calibri" panose="020F0502020204030204" pitchFamily="34" charset="0"/>
        </a:defRPr>
      </a:pPr>
      <a:endParaRPr lang="es-A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0.22783</cdr:x>
      <cdr:y>0.09312</cdr:y>
    </cdr:from>
    <cdr:to>
      <cdr:x>0.25076</cdr:x>
      <cdr:y>0.90486</cdr:y>
    </cdr:to>
    <cdr:sp macro="" textlink="">
      <cdr:nvSpPr>
        <cdr:cNvPr id="2" name="Rectángulo 1"/>
        <cdr:cNvSpPr/>
      </cdr:nvSpPr>
      <cdr:spPr>
        <a:xfrm xmlns:a="http://schemas.openxmlformats.org/drawingml/2006/main">
          <a:off x="1419225" y="438150"/>
          <a:ext cx="142875" cy="3819525"/>
        </a:xfrm>
        <a:prstGeom xmlns:a="http://schemas.openxmlformats.org/drawingml/2006/main" prst="rect">
          <a:avLst/>
        </a:prstGeom>
        <a:noFill xmlns:a="http://schemas.openxmlformats.org/drawingml/2006/main"/>
        <a:ln xmlns:a="http://schemas.openxmlformats.org/drawingml/2006/main" w="19050">
          <a:solidFill>
            <a:srgbClr val="EE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AR" kern="12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2327</Words>
  <Characters>12800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Kantt</dc:creator>
  <cp:keywords/>
  <dc:description/>
  <cp:lastModifiedBy>Julia Kantt</cp:lastModifiedBy>
  <cp:revision>3</cp:revision>
  <dcterms:created xsi:type="dcterms:W3CDTF">2026-06-01T15:35:00Z</dcterms:created>
  <dcterms:modified xsi:type="dcterms:W3CDTF">2026-06-03T16:32:00Z</dcterms:modified>
</cp:coreProperties>
</file>