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44918" w14:textId="77777777" w:rsidR="00D03849" w:rsidRPr="00D03849" w:rsidRDefault="00D03849">
      <w:pPr>
        <w:spacing w:after="160" w:line="278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  <w:lang w:val="es-AR"/>
        </w:rPr>
      </w:pPr>
    </w:p>
    <w:p w14:paraId="54866362" w14:textId="036343D5" w:rsidR="008F65BB" w:rsidRPr="0028260B" w:rsidRDefault="00D03849">
      <w:pPr>
        <w:spacing w:after="160" w:line="278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6"/>
          <w:szCs w:val="36"/>
          <w:highlight w:val="yellow"/>
          <w:lang w:val="es-AR"/>
        </w:rPr>
      </w:pPr>
      <w:r w:rsidRPr="0028260B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s-AR"/>
        </w:rPr>
        <w:t>8 de marzo | Día Internacional de la Mujer</w:t>
      </w:r>
    </w:p>
    <w:p w14:paraId="4EECC9C3" w14:textId="329265E0" w:rsidR="00F92195" w:rsidRPr="00F92195" w:rsidRDefault="00F92195" w:rsidP="00F92195">
      <w:pPr>
        <w:spacing w:before="240" w:after="240" w:line="240" w:lineRule="auto"/>
        <w:jc w:val="center"/>
        <w:rPr>
          <w:rFonts w:ascii="Calibri" w:eastAsia="Calibri" w:hAnsi="Calibri" w:cs="Calibri"/>
          <w:sz w:val="28"/>
          <w:szCs w:val="28"/>
          <w:lang w:val="es-AR"/>
        </w:rPr>
      </w:pPr>
      <w:r w:rsidRPr="00F92195">
        <w:rPr>
          <w:rFonts w:ascii="Calibri" w:eastAsia="Calibri" w:hAnsi="Calibri" w:cs="Calibri"/>
          <w:b/>
          <w:bCs/>
          <w:sz w:val="28"/>
          <w:szCs w:val="28"/>
          <w:lang w:val="es-AR"/>
        </w:rPr>
        <w:t>El 34% de las argentinas afirma haber atravesado alguna situación de violencia en el último año</w:t>
      </w:r>
      <w:r w:rsidRPr="00F92195">
        <w:rPr>
          <w:rFonts w:ascii="Calibri" w:eastAsia="Calibri" w:hAnsi="Calibri" w:cs="Calibri"/>
          <w:sz w:val="28"/>
          <w:szCs w:val="28"/>
          <w:lang w:val="es-AR"/>
        </w:rPr>
        <w:t xml:space="preserve">, </w:t>
      </w:r>
      <w:r w:rsidRPr="00F92195">
        <w:rPr>
          <w:rFonts w:ascii="Calibri" w:eastAsia="Calibri" w:hAnsi="Calibri" w:cs="Calibri"/>
          <w:b/>
          <w:bCs/>
          <w:sz w:val="28"/>
          <w:szCs w:val="28"/>
          <w:lang w:val="es-AR"/>
        </w:rPr>
        <w:t>duplicando el promedio global</w:t>
      </w:r>
      <w:r w:rsidRPr="00F92195">
        <w:rPr>
          <w:rFonts w:ascii="Calibri" w:eastAsia="Calibri" w:hAnsi="Calibri" w:cs="Calibri"/>
          <w:sz w:val="28"/>
          <w:szCs w:val="28"/>
          <w:lang w:val="es-AR"/>
        </w:rPr>
        <w:t>.</w:t>
      </w:r>
    </w:p>
    <w:p w14:paraId="0EEA55DD" w14:textId="77777777" w:rsidR="00F92195" w:rsidRPr="00D03849" w:rsidRDefault="00F92195">
      <w:pPr>
        <w:jc w:val="center"/>
        <w:rPr>
          <w:rFonts w:ascii="Calibri" w:eastAsia="Calibri" w:hAnsi="Calibri" w:cs="Calibri"/>
          <w:sz w:val="24"/>
          <w:szCs w:val="24"/>
          <w:lang w:val="es-AR"/>
        </w:rPr>
      </w:pPr>
    </w:p>
    <w:p w14:paraId="7CF53660" w14:textId="77777777" w:rsidR="008F65BB" w:rsidRPr="00D0384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iCs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i/>
          <w:iCs/>
          <w:sz w:val="24"/>
          <w:szCs w:val="24"/>
          <w:lang w:val="es-AR"/>
        </w:rPr>
        <w:t>8 de marzo de 2026</w:t>
      </w:r>
    </w:p>
    <w:p w14:paraId="6633E9D9" w14:textId="77777777" w:rsidR="008F65BB" w:rsidRPr="00D03849" w:rsidRDefault="008F65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iCs/>
          <w:sz w:val="24"/>
          <w:szCs w:val="24"/>
          <w:lang w:val="es-AR"/>
        </w:rPr>
      </w:pPr>
    </w:p>
    <w:p w14:paraId="709F161A" w14:textId="77777777" w:rsidR="008F65BB" w:rsidRPr="00D0384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es-AR"/>
        </w:rPr>
      </w:pPr>
      <w:proofErr w:type="gramStart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La </w:t>
      </w:r>
      <w:proofErr w:type="spellStart"/>
      <w:r w:rsidRPr="00D03849">
        <w:rPr>
          <w:rFonts w:ascii="Calibri" w:eastAsia="Calibri" w:hAnsi="Calibri" w:cs="Calibri"/>
          <w:b/>
          <w:bCs/>
          <w:i/>
          <w:iCs/>
          <w:sz w:val="24"/>
          <w:szCs w:val="24"/>
          <w:lang w:val="es-AR"/>
        </w:rPr>
        <w:t>Worldwide</w:t>
      </w:r>
      <w:proofErr w:type="spellEnd"/>
      <w:r w:rsidRPr="00D03849">
        <w:rPr>
          <w:rFonts w:ascii="Calibri" w:eastAsia="Calibri" w:hAnsi="Calibri" w:cs="Calibri"/>
          <w:b/>
          <w:bCs/>
          <w:i/>
          <w:iCs/>
          <w:sz w:val="24"/>
          <w:szCs w:val="24"/>
          <w:lang w:val="es-AR"/>
        </w:rPr>
        <w:t xml:space="preserve"> Independent Network </w:t>
      </w:r>
      <w:proofErr w:type="spellStart"/>
      <w:r w:rsidRPr="00D03849">
        <w:rPr>
          <w:rFonts w:ascii="Calibri" w:eastAsia="Calibri" w:hAnsi="Calibri" w:cs="Calibri"/>
          <w:b/>
          <w:bCs/>
          <w:i/>
          <w:iCs/>
          <w:sz w:val="24"/>
          <w:szCs w:val="24"/>
          <w:lang w:val="es-AR"/>
        </w:rPr>
        <w:t>of</w:t>
      </w:r>
      <w:proofErr w:type="spellEnd"/>
      <w:r w:rsidRPr="00D03849">
        <w:rPr>
          <w:rFonts w:ascii="Calibri" w:eastAsia="Calibri" w:hAnsi="Calibri" w:cs="Calibri"/>
          <w:b/>
          <w:bCs/>
          <w:i/>
          <w:iCs/>
          <w:sz w:val="24"/>
          <w:szCs w:val="24"/>
          <w:lang w:val="es-AR"/>
        </w:rPr>
        <w:t xml:space="preserve"> Market </w:t>
      </w:r>
      <w:proofErr w:type="spellStart"/>
      <w:r w:rsidRPr="00D03849">
        <w:rPr>
          <w:rFonts w:ascii="Calibri" w:eastAsia="Calibri" w:hAnsi="Calibri" w:cs="Calibri"/>
          <w:b/>
          <w:bCs/>
          <w:i/>
          <w:iCs/>
          <w:sz w:val="24"/>
          <w:szCs w:val="24"/>
          <w:lang w:val="es-AR"/>
        </w:rPr>
        <w:t>Research</w:t>
      </w:r>
      <w:proofErr w:type="spellEnd"/>
      <w:r w:rsidRPr="00D03849">
        <w:rPr>
          <w:rFonts w:ascii="Calibri" w:eastAsia="Calibri" w:hAnsi="Calibri" w:cs="Calibri"/>
          <w:b/>
          <w:bCs/>
          <w:i/>
          <w:iCs/>
          <w:sz w:val="24"/>
          <w:szCs w:val="24"/>
          <w:lang w:val="es-AR"/>
        </w:rPr>
        <w:t xml:space="preserve">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(WIN),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la principal asociación global de firmas independientes de investigación de mercado y encuestas de opinión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y </w:t>
      </w:r>
      <w:proofErr w:type="spellStart"/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Voices</w:t>
      </w:r>
      <w:proofErr w:type="spellEnd"/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!</w:t>
      </w:r>
      <w:proofErr w:type="gramEnd"/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 en Argentina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han publicado su </w:t>
      </w:r>
      <w:proofErr w:type="spellStart"/>
      <w:r w:rsidRPr="00D03849">
        <w:rPr>
          <w:rFonts w:ascii="Calibri" w:eastAsia="Calibri" w:hAnsi="Calibri" w:cs="Calibri"/>
          <w:i/>
          <w:iCs/>
          <w:sz w:val="24"/>
          <w:szCs w:val="24"/>
          <w:lang w:val="es-AR"/>
        </w:rPr>
        <w:t>Worldviews</w:t>
      </w:r>
      <w:proofErr w:type="spellEnd"/>
      <w:r w:rsidRPr="00D03849">
        <w:rPr>
          <w:rFonts w:ascii="Calibri" w:eastAsia="Calibri" w:hAnsi="Calibri" w:cs="Calibri"/>
          <w:i/>
          <w:iCs/>
          <w:sz w:val="24"/>
          <w:szCs w:val="24"/>
          <w:lang w:val="es-AR"/>
        </w:rPr>
        <w:t xml:space="preserve"> </w:t>
      </w:r>
      <w:proofErr w:type="spellStart"/>
      <w:r w:rsidRPr="00D03849">
        <w:rPr>
          <w:rFonts w:ascii="Calibri" w:eastAsia="Calibri" w:hAnsi="Calibri" w:cs="Calibri"/>
          <w:i/>
          <w:iCs/>
          <w:sz w:val="24"/>
          <w:szCs w:val="24"/>
          <w:lang w:val="es-AR"/>
        </w:rPr>
        <w:t>Survey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. La encuesta de este año recopila las perspectivas y creencias de 45.000 personas en 45 países. </w:t>
      </w:r>
    </w:p>
    <w:p w14:paraId="221FCF58" w14:textId="77777777" w:rsidR="008F65BB" w:rsidRPr="00D03849" w:rsidRDefault="008F65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es-AR"/>
        </w:rPr>
      </w:pPr>
    </w:p>
    <w:p w14:paraId="39622C06" w14:textId="213A012A" w:rsidR="008F65BB" w:rsidRPr="00D03849" w:rsidRDefault="00000000">
      <w:pPr>
        <w:spacing w:after="20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De cara al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Día Internacional de la Mujer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los últimos hallazgos de WIN arrojan luz sobre la persistente brecha entre el progreso percibido en igualdad de género y la realidad vivida por las mujeres. Si bien las percepciones en espacios formales como el trabajo y la política sugieren que la igualdad se ha logrado en </w:t>
      </w:r>
      <w:r w:rsidR="00D03849">
        <w:rPr>
          <w:rFonts w:ascii="Calibri" w:eastAsia="Calibri" w:hAnsi="Calibri" w:cs="Calibri"/>
          <w:sz w:val="24"/>
          <w:szCs w:val="24"/>
          <w:lang w:val="es-AR"/>
        </w:rPr>
        <w:t xml:space="preserve">alguna 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medida, las experiencias cotidianas de las mujeres cuentan una historia muy diferente, incluyendo la exposición a la violencia, el acoso y la inseguridad. La encuesta ha seguido el progreso en muchos de estos países durante seis años, desde que comenzó en 2019, y evalúa si la igualdad de oportunidades y derechos está mejorando en todo el mundo. </w:t>
      </w:r>
    </w:p>
    <w:p w14:paraId="063FBFD8" w14:textId="77777777" w:rsidR="008F65BB" w:rsidRPr="00D03849" w:rsidRDefault="008F65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es-AR"/>
        </w:rPr>
      </w:pPr>
    </w:p>
    <w:p w14:paraId="56AF76E4" w14:textId="77777777" w:rsidR="008F65BB" w:rsidRPr="00D0384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Principales hallazgos:</w:t>
      </w:r>
    </w:p>
    <w:p w14:paraId="2470F63A" w14:textId="77777777" w:rsidR="008F65BB" w:rsidRPr="00D03849" w:rsidRDefault="008F65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</w:p>
    <w:p w14:paraId="1CA2CA0B" w14:textId="77777777" w:rsidR="008F65BB" w:rsidRPr="00D03849" w:rsidRDefault="00000000">
      <w:pPr>
        <w:jc w:val="both"/>
        <w:rPr>
          <w:rFonts w:ascii="Calibri" w:eastAsia="Calibri" w:hAnsi="Calibri" w:cs="Calibri"/>
          <w:b/>
          <w:bCs/>
          <w:color w:val="CC4125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b/>
          <w:bCs/>
          <w:color w:val="CC4125"/>
          <w:sz w:val="24"/>
          <w:szCs w:val="24"/>
          <w:lang w:val="es-AR"/>
        </w:rPr>
        <w:t>Aumenta desde 2025 la percepción de igualdad de género en el trabajo y la política, tanto en Argentina como a nivel global, mientras que en el hogar se mantiene.</w:t>
      </w:r>
    </w:p>
    <w:p w14:paraId="2C2DB99A" w14:textId="77777777" w:rsidR="008F65BB" w:rsidRPr="00D0384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A nivel global,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crece la percepción de que la igualdad de género se ha alcanzado —al menos en cierta medida— en el ámbito laboral y en la política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, en comparación con 2025.</w:t>
      </w:r>
    </w:p>
    <w:p w14:paraId="713605DC" w14:textId="41CE976D" w:rsidR="008F65BB" w:rsidRPr="00D0384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Actualmente,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dos tercios de los encuestados globalmente (66%) consideran que la igualdad de género en el trabajo ya se logró total o parcialmente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lo que representa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un aumento de 7 puntos respecto de 2025 (59%)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. Una tendencia similar se observa en el ámbito político: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el 57% cree que la igualdad de género se ha alcanzado en la política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6 puntos más que el año pasado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.</w:t>
      </w:r>
    </w:p>
    <w:p w14:paraId="408BBC9D" w14:textId="494B64E0" w:rsidR="008F65BB" w:rsidRPr="00D0384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lastRenderedPageBreak/>
        <w:t xml:space="preserve">En cambio,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la percepción de igualdad de género en el hogar se mantiene relativamente estable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. </w:t>
      </w:r>
    </w:p>
    <w:p w14:paraId="4BCF97E5" w14:textId="5675221C" w:rsidR="008F65BB" w:rsidRPr="00D0384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Este mayor optimismo sobre el avance de la igualdad de género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es más frecuente entre los hombres</w:t>
      </w:r>
      <w:r w:rsidR="00181F3E">
        <w:rPr>
          <w:rFonts w:ascii="Calibri" w:eastAsia="Calibri" w:hAnsi="Calibri" w:cs="Calibri"/>
          <w:sz w:val="24"/>
          <w:szCs w:val="24"/>
          <w:lang w:val="es-AR"/>
        </w:rPr>
        <w:t xml:space="preserve">: </w:t>
      </w:r>
      <w:r w:rsidR="00115A3C">
        <w:rPr>
          <w:rFonts w:ascii="Calibri" w:eastAsia="Calibri" w:hAnsi="Calibri" w:cs="Calibri"/>
          <w:sz w:val="24"/>
          <w:szCs w:val="24"/>
          <w:lang w:val="es-AR"/>
        </w:rPr>
        <w:t>71% considera que se alcanzó en el trabajo (vs. 61% mujeres), 63% en la política (vs. 52% mujeres) y 75% en el hogar (</w:t>
      </w:r>
      <w:r w:rsidR="005F0D59">
        <w:rPr>
          <w:rFonts w:ascii="Calibri" w:eastAsia="Calibri" w:hAnsi="Calibri" w:cs="Calibri"/>
          <w:sz w:val="24"/>
          <w:szCs w:val="24"/>
          <w:lang w:val="es-AR"/>
        </w:rPr>
        <w:t xml:space="preserve">vs. </w:t>
      </w:r>
      <w:r w:rsidR="00115A3C">
        <w:rPr>
          <w:rFonts w:ascii="Calibri" w:eastAsia="Calibri" w:hAnsi="Calibri" w:cs="Calibri"/>
          <w:sz w:val="24"/>
          <w:szCs w:val="24"/>
          <w:lang w:val="es-AR"/>
        </w:rPr>
        <w:t xml:space="preserve">68% mujeres). También predomina 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entre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personas con mayor nivel educativo y quienes están empleadas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, que tienden a expresar percepciones más positivas sobre la igualdad en todos los ámbitos evaluados.</w:t>
      </w:r>
    </w:p>
    <w:p w14:paraId="76030341" w14:textId="77777777" w:rsidR="008F65BB" w:rsidRPr="00D0384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En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Argentina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la tendencia es similar a la observada a nivel global.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El 71% de los encuestados considera que la igualdad de género en el trabajo se ha alcanzado “definitivamente + en cierta medida”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6 puntos más que en 2025 (65%)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. También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aumenta la percepción de igualdad en el ámbito político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donde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pasa del 60% en 2025 al 69% en la actualidad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ubicándose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por encima del promedio global (57%)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.</w:t>
      </w:r>
    </w:p>
    <w:p w14:paraId="6CA0D75C" w14:textId="77777777" w:rsidR="008F65BB" w:rsidRPr="00D0384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En el ámbito doméstico, en cambio,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la percepción se mantiene prácticamente sin cambios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: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el 75% de los argentinos considera que existe igualdad de género en el hogar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frente al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74% registrado en 2025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en línea con la media global. </w:t>
      </w:r>
    </w:p>
    <w:p w14:paraId="7172E346" w14:textId="77777777" w:rsidR="008F65BB" w:rsidRPr="00D03849" w:rsidRDefault="008F65BB">
      <w:pPr>
        <w:spacing w:before="240" w:after="200"/>
        <w:jc w:val="both"/>
        <w:rPr>
          <w:rFonts w:ascii="Calibri" w:eastAsia="Calibri" w:hAnsi="Calibri" w:cs="Calibri"/>
          <w:sz w:val="24"/>
          <w:szCs w:val="24"/>
          <w:lang w:val="es-AR"/>
        </w:rPr>
      </w:pPr>
    </w:p>
    <w:p w14:paraId="5F85E233" w14:textId="77777777" w:rsidR="008F65BB" w:rsidRPr="00D03849" w:rsidRDefault="00000000">
      <w:pPr>
        <w:spacing w:before="240" w:after="200"/>
        <w:jc w:val="both"/>
        <w:rPr>
          <w:rFonts w:ascii="Calibri" w:eastAsia="Calibri" w:hAnsi="Calibri" w:cs="Calibri"/>
          <w:b/>
          <w:bCs/>
          <w:color w:val="CC4125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b/>
          <w:bCs/>
          <w:color w:val="CC4125"/>
          <w:sz w:val="24"/>
          <w:szCs w:val="24"/>
          <w:lang w:val="es-AR"/>
        </w:rPr>
        <w:t>Sin embargo, las percepciones de progreso en las instituciones contrastan con las experiencias vividas por las mujeres.</w:t>
      </w:r>
    </w:p>
    <w:p w14:paraId="2E439C6A" w14:textId="66AA7F1C" w:rsidR="008F65BB" w:rsidRPr="00D03849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A nivel global,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el 17% de las mujeres encuestadas señala haber sufrido algún tipo de violencia (física o psicológica) en los últimos 12 meses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. </w:t>
      </w:r>
    </w:p>
    <w:p w14:paraId="72D458D5" w14:textId="77777777" w:rsidR="008F65BB" w:rsidRPr="00D03849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En comparación internacional,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Argentina se ubica entre los países con mayor proporción de mujeres que declaran haber sufrido violencia en el último año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. En el país,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el 34% de las mujeres afirma haber atravesado alguna situación de violencia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duplicando el promedio global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.</w:t>
      </w:r>
    </w:p>
    <w:p w14:paraId="5760EAC6" w14:textId="77777777" w:rsidR="008F65BB" w:rsidRPr="00D03849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Con este nivel,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Argentina ocupa el tercer lugar en el ranking internacional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, junto con Grecia. El primer puesto lo registra Marruecos (43%), seguido por Indonesia (36%).</w:t>
      </w:r>
    </w:p>
    <w:p w14:paraId="3C1B9076" w14:textId="77777777" w:rsidR="008F65BB" w:rsidRPr="00D03849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Además,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la problemática aparece especialmente concentrada en América Latina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: entre los 12 países con mayores niveles de violencia reportada por mujeres,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7 pertenecen a la región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: Argentina (34%), México (29%), Venezuela (28%), Chile (27%) y Paraguay, Colombia y Brasil (22%).</w:t>
      </w:r>
    </w:p>
    <w:p w14:paraId="0881D33D" w14:textId="0293C5B5" w:rsidR="008F65BB" w:rsidRPr="00D03849" w:rsidRDefault="00000000">
      <w:pPr>
        <w:spacing w:before="240" w:after="240" w:line="240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En </w:t>
      </w:r>
      <w:r w:rsidRPr="00F92195">
        <w:rPr>
          <w:rFonts w:ascii="Calibri" w:eastAsia="Calibri" w:hAnsi="Calibri" w:cs="Calibri"/>
          <w:b/>
          <w:bCs/>
          <w:sz w:val="24"/>
          <w:szCs w:val="24"/>
          <w:lang w:val="es-AR"/>
        </w:rPr>
        <w:t>Argentina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la declaración de haber sufrido violencia en el último año crece entre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mujeres de</w:t>
      </w:r>
      <w:r w:rsidR="004844AF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 </w:t>
      </w:r>
      <w:r w:rsidR="00F92195">
        <w:rPr>
          <w:rFonts w:ascii="Calibri" w:eastAsia="Calibri" w:hAnsi="Calibri" w:cs="Calibri"/>
          <w:b/>
          <w:bCs/>
          <w:sz w:val="24"/>
          <w:szCs w:val="24"/>
          <w:lang w:val="es-AR"/>
        </w:rPr>
        <w:t>3</w:t>
      </w:r>
      <w:r w:rsidR="004844AF">
        <w:rPr>
          <w:rFonts w:ascii="Calibri" w:eastAsia="Calibri" w:hAnsi="Calibri" w:cs="Calibri"/>
          <w:b/>
          <w:bCs/>
          <w:sz w:val="24"/>
          <w:szCs w:val="24"/>
          <w:lang w:val="es-AR"/>
        </w:rPr>
        <w:t>5 a 49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 años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donde alcanza </w:t>
      </w:r>
      <w:r w:rsidR="00F92195">
        <w:rPr>
          <w:rFonts w:ascii="Calibri" w:eastAsia="Calibri" w:hAnsi="Calibri" w:cs="Calibri"/>
          <w:b/>
          <w:bCs/>
          <w:sz w:val="24"/>
          <w:szCs w:val="24"/>
          <w:lang w:val="es-AR"/>
        </w:rPr>
        <w:t>e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l </w:t>
      </w:r>
      <w:r w:rsidR="004844AF">
        <w:rPr>
          <w:rFonts w:ascii="Calibri" w:eastAsia="Calibri" w:hAnsi="Calibri" w:cs="Calibri"/>
          <w:b/>
          <w:bCs/>
          <w:sz w:val="24"/>
          <w:szCs w:val="24"/>
          <w:lang w:val="es-AR"/>
        </w:rPr>
        <w:t>39</w:t>
      </w:r>
      <w:r w:rsidRPr="00F92195">
        <w:rPr>
          <w:rFonts w:ascii="Calibri" w:eastAsia="Calibri" w:hAnsi="Calibri" w:cs="Calibri"/>
          <w:b/>
          <w:bCs/>
          <w:sz w:val="24"/>
          <w:szCs w:val="24"/>
          <w:lang w:val="es-AR"/>
        </w:rPr>
        <w:t>%</w:t>
      </w:r>
      <w:r w:rsidR="00676EE2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. </w:t>
      </w:r>
      <w:r w:rsidR="00B513BA" w:rsidRPr="00B513BA">
        <w:rPr>
          <w:rFonts w:ascii="Calibri" w:eastAsia="Calibri" w:hAnsi="Calibri" w:cs="Calibri"/>
          <w:sz w:val="24"/>
          <w:szCs w:val="24"/>
          <w:lang w:val="es-AR"/>
        </w:rPr>
        <w:t xml:space="preserve">En cambio, esta declaración </w:t>
      </w:r>
      <w:r w:rsidR="00B513BA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cae a 24% en CABA. </w:t>
      </w:r>
    </w:p>
    <w:p w14:paraId="3BF44CEE" w14:textId="64326AE9" w:rsidR="00D03849" w:rsidRDefault="00000000">
      <w:pPr>
        <w:spacing w:before="280" w:after="280" w:line="240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lastRenderedPageBreak/>
        <w:t xml:space="preserve">Por otro </w:t>
      </w:r>
      <w:r w:rsidR="00F92195" w:rsidRPr="00D03849">
        <w:rPr>
          <w:rFonts w:ascii="Calibri" w:eastAsia="Calibri" w:hAnsi="Calibri" w:cs="Calibri"/>
          <w:sz w:val="24"/>
          <w:szCs w:val="24"/>
          <w:lang w:val="es-AR"/>
        </w:rPr>
        <w:t>lado,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y, alineado al promedio global,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 </w:t>
      </w:r>
      <w:r w:rsidR="00F92195"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una de cada diez argentinas declara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 haber sufrido acoso sexual en el último año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,</w:t>
      </w:r>
      <w:r w:rsidR="00D03849">
        <w:rPr>
          <w:rFonts w:ascii="Calibri" w:eastAsia="Calibri" w:hAnsi="Calibri" w:cs="Calibri"/>
          <w:sz w:val="24"/>
          <w:szCs w:val="24"/>
          <w:lang w:val="es-AR"/>
        </w:rPr>
        <w:t xml:space="preserve"> 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tendencia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aumenta entre las jóvenes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: llega al 15% entre las de 18-2</w:t>
      </w:r>
      <w:r w:rsidR="004844AF">
        <w:rPr>
          <w:rFonts w:ascii="Calibri" w:eastAsia="Calibri" w:hAnsi="Calibri" w:cs="Calibri"/>
          <w:sz w:val="24"/>
          <w:szCs w:val="24"/>
          <w:lang w:val="es-AR"/>
        </w:rPr>
        <w:t xml:space="preserve">4 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años y alcanza el 20% entre las de 25-34. </w:t>
      </w:r>
    </w:p>
    <w:p w14:paraId="779192DD" w14:textId="3277E0B5" w:rsidR="008F65BB" w:rsidRPr="00D03849" w:rsidRDefault="00000000">
      <w:pPr>
        <w:spacing w:before="280" w:after="280" w:line="240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El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ranking internacional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, está encabezado por Marruecos (36%), seguido por México (25%) y luego India (21%).</w:t>
      </w:r>
    </w:p>
    <w:p w14:paraId="26BC21F8" w14:textId="32D8C94D" w:rsidR="008F65BB" w:rsidRPr="00D03849" w:rsidRDefault="00D03849">
      <w:pPr>
        <w:spacing w:before="240" w:after="24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>
        <w:rPr>
          <w:rFonts w:ascii="Calibri" w:eastAsia="Calibri" w:hAnsi="Calibri" w:cs="Calibri"/>
          <w:sz w:val="24"/>
          <w:szCs w:val="24"/>
          <w:lang w:val="es-AR"/>
        </w:rPr>
        <w:t>M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ientras el progreso institucional y el optimismo público parecen crecer, la igualdad real sigue estando fuera del alcance de muchas mujeres, cuyas experiencias cotidianas continúan rezagadas respecto de los avances formales y de las percepciones sociales.</w:t>
      </w:r>
    </w:p>
    <w:p w14:paraId="40B49F0B" w14:textId="77777777" w:rsidR="00A30A04" w:rsidRPr="00D03849" w:rsidRDefault="00A30A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</w:p>
    <w:p w14:paraId="74FC9D19" w14:textId="77777777" w:rsidR="00F62CC9" w:rsidRDefault="00F62CC9">
      <w:pPr>
        <w:rPr>
          <w:rFonts w:ascii="Calibri" w:eastAsia="Calibri" w:hAnsi="Calibri" w:cs="Calibri"/>
          <w:b/>
          <w:bCs/>
          <w:sz w:val="24"/>
          <w:szCs w:val="24"/>
          <w:lang w:val="es-AR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-AR"/>
        </w:rPr>
        <w:br w:type="page"/>
      </w:r>
    </w:p>
    <w:p w14:paraId="064FA794" w14:textId="4BC8E4C1" w:rsidR="00B304B3" w:rsidRPr="00B304B3" w:rsidRDefault="00B304B3" w:rsidP="00B304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  <w:r w:rsidRPr="00B304B3">
        <w:rPr>
          <w:rFonts w:ascii="Calibri" w:eastAsia="Calibri" w:hAnsi="Calibri" w:cs="Calibri"/>
          <w:b/>
          <w:bCs/>
          <w:sz w:val="24"/>
          <w:szCs w:val="24"/>
          <w:lang w:val="es-AR"/>
        </w:rPr>
        <w:lastRenderedPageBreak/>
        <w:t>¿Alguna vez ha sufrido algún tipo de violencia (ya sea física o psicológica) en el último año?</w:t>
      </w:r>
    </w:p>
    <w:p w14:paraId="2BB04B19" w14:textId="7DE09081" w:rsidR="00B304B3" w:rsidRPr="00F62CC9" w:rsidRDefault="00B304B3" w:rsidP="00B304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  <w:r w:rsidRPr="00F62CC9">
        <w:rPr>
          <w:rFonts w:ascii="Calibri" w:eastAsia="Calibri" w:hAnsi="Calibri" w:cs="Calibri"/>
          <w:b/>
          <w:bCs/>
          <w:sz w:val="24"/>
          <w:szCs w:val="24"/>
          <w:lang w:val="es-AR"/>
        </w:rPr>
        <w:t>Base: Mujeres</w:t>
      </w:r>
    </w:p>
    <w:p w14:paraId="5327126D" w14:textId="3C490F0A" w:rsidR="00FC576F" w:rsidRDefault="00F62CC9" w:rsidP="00F62C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CC4125"/>
          <w:sz w:val="24"/>
          <w:szCs w:val="24"/>
          <w:lang w:val="es-AR"/>
        </w:rPr>
      </w:pPr>
      <w:r>
        <w:rPr>
          <w:rFonts w:ascii="Calibri" w:eastAsia="Calibri" w:hAnsi="Calibri" w:cs="Calibri"/>
          <w:b/>
          <w:bCs/>
          <w:noProof/>
          <w:color w:val="CC4125"/>
          <w:sz w:val="24"/>
          <w:szCs w:val="24"/>
          <w:lang w:val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2D84F" wp14:editId="2FBC78C7">
                <wp:simplePos x="0" y="0"/>
                <wp:positionH relativeFrom="column">
                  <wp:posOffset>422694</wp:posOffset>
                </wp:positionH>
                <wp:positionV relativeFrom="paragraph">
                  <wp:posOffset>414427</wp:posOffset>
                </wp:positionV>
                <wp:extent cx="5287885" cy="163902"/>
                <wp:effectExtent l="0" t="0" r="27305" b="26670"/>
                <wp:wrapNone/>
                <wp:docPr id="168851054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885" cy="1639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09BCA" id="Rectángulo 2" o:spid="_x0000_s1026" style="position:absolute;margin-left:33.3pt;margin-top:32.65pt;width:416.35pt;height:1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BZawIAADgFAAAOAAAAZHJzL2Uyb0RvYy54bWysVMlu2zAQvRfoPxC8N5LcLI4ROTCyFAWC&#10;JGhS5ExTpC2U4rBD2rL79R1SsuymPhXVgZp94xteXW8aw9YKfQ225MVJzpmyEqraLkr+/fX+05gz&#10;H4SthAGrSr5Vnl9PP364at1EjWAJplLIKIj1k9aVfBmCm2SZl0vVCH8CTllSasBGBGJxkVUoWore&#10;mGyU5+dZC1g5BKm8J+ltp+TTFF9rJcOT1l4FZkpOtYV0Yjrn8cymV2KyQOGWtezLEP9QRSNqS0mH&#10;ULciCLbC+q9QTS0RPOhwIqHJQOtaqtQDdVPk77p5WQqnUi80HO+GMfn/F1Y+rl/cM9IYWucnnsjY&#10;xUZjE/9UH9ukYW2HYalNYJKEZ6PxxXh8xpkkXXH++TIfxWlme2+HPnxR0LBIlBzpMtKMxPrBh850&#10;ZxKTWbivjUkXYmwUeDB1FWWJwcX8xiBbC7rJu7ucvj7dgRklj67ZvpdEha1RMYax35RmdUXVj1Il&#10;CWZqCCukVDbs2kjW0U1TCYNjcczRhKIvpreNbirBb3DMjzn+mXHwSFnBhsG5qS3gsQDVjyFzZ7/r&#10;vus5tj+HavuMDKEDv3fyvqYLeRA+PAsktNNe0AaHJzq0gbbk0FOcLQF/HZNHewIhaTlraXtK7n+u&#10;BCrOzFdL8LwsTk/juiXm9OxiRAweauaHGrtqboCutaC3wslERvtgdqRGaN5o0WcxK6mElZS75DLg&#10;jrkJ3VbTUyHVbJbMaMWcCA/2xckYPE41Au518ybQ9agMhOdH2G2amLwDZ2cbPS3MVgF0nZC7n2s/&#10;b1rPhP3+KYn7f8gnq/2DN/0NAAD//wMAUEsDBBQABgAIAAAAIQAStArD3QAAAAgBAAAPAAAAZHJz&#10;L2Rvd25yZXYueG1sTI9BT4NAEIXvJv6HzTTxZhdsJIAsjdGYelPRS29TmAKB3SW7W0r/vePJnmYm&#10;7+XN94rtokcxk/O9NQridQSCTG2b3rQKfr7f7lMQPqBpcLSGFFzIw7a8vSkwb+zZfNFchVZwiPE5&#10;KuhCmHIpfd2RRr+2ExnWjtZpDHy6VjYOzxyuR/kQRYnU2Bv+0OFELx3VQ3XSCt4/d6/TMPvoAy+7&#10;ttq4fTq4vVJ3q+X5CUSgJfyb4Q+f0aFkpoM9mcaLUUGSJOzk+bgBwXqaZbwcFGRxDLIs5HWB8hcA&#10;AP//AwBQSwECLQAUAAYACAAAACEAtoM4kv4AAADhAQAAEwAAAAAAAAAAAAAAAAAAAAAAW0NvbnRl&#10;bnRfVHlwZXNdLnhtbFBLAQItABQABgAIAAAAIQA4/SH/1gAAAJQBAAALAAAAAAAAAAAAAAAAAC8B&#10;AABfcmVscy8ucmVsc1BLAQItABQABgAIAAAAIQAixQBZawIAADgFAAAOAAAAAAAAAAAAAAAAAC4C&#10;AABkcnMvZTJvRG9jLnhtbFBLAQItABQABgAIAAAAIQAStArD3QAAAAgBAAAPAAAAAAAAAAAAAAAA&#10;AMUEAABkcnMvZG93bnJldi54bWxQSwUGAAAAAAQABADzAAAAzwUAAAAA&#10;" filled="f" strokecolor="#e00" strokeweight="2pt"/>
            </w:pict>
          </mc:Fallback>
        </mc:AlternateContent>
      </w:r>
      <w:r w:rsidR="00FC576F">
        <w:rPr>
          <w:rFonts w:ascii="Calibri" w:eastAsia="Calibri" w:hAnsi="Calibri" w:cs="Calibri"/>
          <w:b/>
          <w:bCs/>
          <w:noProof/>
          <w:color w:val="CC4125"/>
          <w:sz w:val="24"/>
          <w:szCs w:val="24"/>
          <w:lang w:val="es-AR"/>
        </w:rPr>
        <w:drawing>
          <wp:inline distT="0" distB="0" distL="0" distR="0" wp14:anchorId="41FB9F1C" wp14:editId="1D0A9165">
            <wp:extent cx="5629275" cy="6754483"/>
            <wp:effectExtent l="0" t="0" r="9525" b="8890"/>
            <wp:docPr id="202967361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17475D0" w14:textId="59D4E758" w:rsidR="00B304B3" w:rsidRPr="00F62CC9" w:rsidRDefault="00B304B3" w:rsidP="00B304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iCs/>
          <w:sz w:val="20"/>
          <w:szCs w:val="20"/>
          <w:lang w:val="es-AR"/>
        </w:rPr>
      </w:pPr>
      <w:proofErr w:type="gramStart"/>
      <w:r w:rsidRPr="00F62CC9">
        <w:rPr>
          <w:rFonts w:ascii="Calibri" w:eastAsia="Calibri" w:hAnsi="Calibri" w:cs="Calibri"/>
          <w:i/>
          <w:iCs/>
          <w:sz w:val="20"/>
          <w:szCs w:val="20"/>
          <w:lang w:val="es-AR"/>
        </w:rPr>
        <w:t xml:space="preserve">Fuente WIN </w:t>
      </w:r>
      <w:proofErr w:type="spellStart"/>
      <w:r w:rsidRPr="00F62CC9">
        <w:rPr>
          <w:rFonts w:ascii="Calibri" w:eastAsia="Calibri" w:hAnsi="Calibri" w:cs="Calibri"/>
          <w:i/>
          <w:iCs/>
          <w:sz w:val="20"/>
          <w:szCs w:val="20"/>
          <w:lang w:val="es-AR"/>
        </w:rPr>
        <w:t>Voices</w:t>
      </w:r>
      <w:proofErr w:type="spellEnd"/>
      <w:r w:rsidRPr="00F62CC9">
        <w:rPr>
          <w:rFonts w:ascii="Calibri" w:eastAsia="Calibri" w:hAnsi="Calibri" w:cs="Calibri"/>
          <w:i/>
          <w:iCs/>
          <w:sz w:val="20"/>
          <w:szCs w:val="20"/>
          <w:lang w:val="es-AR"/>
        </w:rPr>
        <w:t>!</w:t>
      </w:r>
      <w:proofErr w:type="gramEnd"/>
      <w:r w:rsidRPr="00F62CC9">
        <w:rPr>
          <w:rFonts w:ascii="Calibri" w:eastAsia="Calibri" w:hAnsi="Calibri" w:cs="Calibri"/>
          <w:i/>
          <w:iCs/>
          <w:sz w:val="20"/>
          <w:szCs w:val="20"/>
          <w:lang w:val="es-AR"/>
        </w:rPr>
        <w:t xml:space="preserve"> En Argentina</w:t>
      </w:r>
    </w:p>
    <w:p w14:paraId="5FBFC579" w14:textId="77777777" w:rsidR="00B304B3" w:rsidRPr="00B304B3" w:rsidRDefault="00B304B3" w:rsidP="00B304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iCs/>
          <w:sz w:val="24"/>
          <w:szCs w:val="24"/>
          <w:lang w:val="es-AR"/>
        </w:rPr>
      </w:pPr>
    </w:p>
    <w:p w14:paraId="7D26EB72" w14:textId="77777777" w:rsidR="00B839A8" w:rsidRDefault="00B839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CC4125"/>
          <w:sz w:val="24"/>
          <w:szCs w:val="24"/>
          <w:lang w:val="es-AR"/>
        </w:rPr>
      </w:pPr>
    </w:p>
    <w:p w14:paraId="55C9A388" w14:textId="20D09669" w:rsidR="008F65BB" w:rsidRPr="00D0384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CC4125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b/>
          <w:bCs/>
          <w:color w:val="CC4125"/>
          <w:sz w:val="24"/>
          <w:szCs w:val="24"/>
          <w:lang w:val="es-AR"/>
        </w:rPr>
        <w:lastRenderedPageBreak/>
        <w:t>La inseguridad al caminar de noche golpea más a las mujeres y se concentra en América Latina</w:t>
      </w:r>
    </w:p>
    <w:p w14:paraId="33936C67" w14:textId="77777777" w:rsidR="008F65BB" w:rsidRPr="00D03849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A nivel global,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el 36% de los encuestados afirma no sentirse seguro al caminar por la calle de noche, 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dato que se mantiene desde 2024. La percepción de inseguridad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aumenta entre las mujeres (45%) y disminuye entre los hombres (26%). </w:t>
      </w:r>
    </w:p>
    <w:p w14:paraId="39B276A6" w14:textId="7FC0568E" w:rsidR="008F65BB" w:rsidRPr="00D03849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El top </w:t>
      </w:r>
      <w:r w:rsidR="00F568AE">
        <w:rPr>
          <w:rFonts w:ascii="Calibri" w:eastAsia="Calibri" w:hAnsi="Calibri" w:cs="Calibri"/>
          <w:sz w:val="24"/>
          <w:szCs w:val="24"/>
          <w:lang w:val="es-AR"/>
        </w:rPr>
        <w:t>7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de países donde las mujeres afirman no sentirse seguras está compuesto en su totalidad por naciones latinoamericanas.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Ecuador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(79%),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Chile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y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México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(75%), y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Brasil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(70%) encabezan la lista.</w:t>
      </w:r>
    </w:p>
    <w:p w14:paraId="0E7E7FDF" w14:textId="12F537B6" w:rsidR="008F65BB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En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Argentina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>, la situación es más crítica</w:t>
      </w:r>
      <w:r w:rsidR="00E1064B">
        <w:rPr>
          <w:rFonts w:ascii="Calibri" w:eastAsia="Calibri" w:hAnsi="Calibri" w:cs="Calibri"/>
          <w:sz w:val="24"/>
          <w:szCs w:val="24"/>
          <w:lang w:val="es-AR"/>
        </w:rPr>
        <w:t xml:space="preserve"> que en el promedio</w:t>
      </w:r>
      <w:r w:rsidR="00B839A8">
        <w:rPr>
          <w:rFonts w:ascii="Calibri" w:eastAsia="Calibri" w:hAnsi="Calibri" w:cs="Calibri"/>
          <w:sz w:val="24"/>
          <w:szCs w:val="24"/>
          <w:lang w:val="es-AR"/>
        </w:rPr>
        <w:t xml:space="preserve">, </w:t>
      </w:r>
      <w:r w:rsidR="00B839A8" w:rsidRPr="00B839A8">
        <w:rPr>
          <w:rFonts w:ascii="Calibri" w:eastAsia="Calibri" w:hAnsi="Calibri" w:cs="Calibri"/>
          <w:b/>
          <w:bCs/>
          <w:sz w:val="24"/>
          <w:szCs w:val="24"/>
          <w:lang w:val="es-AR"/>
        </w:rPr>
        <w:t>m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ás de la mitad (64%) de las mujeres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expresan esta preocupación, en comparación con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 cuatro de cada diez hombres (37%)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. El porcentaje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aumenta especialmente en mujeres de GBA (78%) y CABA (71%)</w:t>
      </w: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, mientras que en el </w:t>
      </w: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Interior baja a 58%.  </w:t>
      </w:r>
    </w:p>
    <w:p w14:paraId="30C86043" w14:textId="3535ED94" w:rsidR="004B41BE" w:rsidRDefault="004B41BE" w:rsidP="004B41BE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  <w:r w:rsidRPr="00E1064B">
        <w:rPr>
          <w:rFonts w:ascii="Calibri" w:eastAsia="Calibri" w:hAnsi="Calibri" w:cs="Calibri"/>
          <w:b/>
          <w:bCs/>
          <w:sz w:val="24"/>
          <w:szCs w:val="24"/>
          <w:lang w:val="es-AR"/>
        </w:rPr>
        <w:t>¿Se siente segura</w:t>
      </w:r>
      <w:r w:rsidR="00F568AE">
        <w:rPr>
          <w:rFonts w:ascii="Calibri" w:eastAsia="Calibri" w:hAnsi="Calibri" w:cs="Calibri"/>
          <w:b/>
          <w:bCs/>
          <w:sz w:val="24"/>
          <w:szCs w:val="24"/>
          <w:lang w:val="es-AR"/>
        </w:rPr>
        <w:t>/</w:t>
      </w:r>
      <w:r w:rsidRPr="00E1064B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 confiada caminando sola </w:t>
      </w:r>
      <w:r w:rsidR="00F568AE">
        <w:rPr>
          <w:rFonts w:ascii="Calibri" w:eastAsia="Calibri" w:hAnsi="Calibri" w:cs="Calibri"/>
          <w:b/>
          <w:bCs/>
          <w:sz w:val="24"/>
          <w:szCs w:val="24"/>
          <w:lang w:val="es-AR"/>
        </w:rPr>
        <w:t>de</w:t>
      </w:r>
      <w:r w:rsidRPr="00E1064B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 noche en su vecindario?</w:t>
      </w:r>
    </w:p>
    <w:p w14:paraId="10101BD6" w14:textId="6F0A8E5B" w:rsidR="00F568AE" w:rsidRPr="00F568AE" w:rsidRDefault="00F568AE" w:rsidP="004B41BE">
      <w:pPr>
        <w:spacing w:before="240" w:after="240"/>
        <w:jc w:val="center"/>
        <w:rPr>
          <w:rFonts w:ascii="Calibri" w:eastAsia="Calibri" w:hAnsi="Calibri" w:cs="Calibri"/>
          <w:i/>
          <w:iCs/>
          <w:sz w:val="24"/>
          <w:szCs w:val="24"/>
          <w:lang w:val="es-AR"/>
        </w:rPr>
      </w:pPr>
      <w:r w:rsidRPr="00F568AE">
        <w:rPr>
          <w:rFonts w:ascii="Calibri" w:eastAsia="Calibri" w:hAnsi="Calibri" w:cs="Calibri"/>
          <w:i/>
          <w:iCs/>
          <w:sz w:val="24"/>
          <w:szCs w:val="24"/>
          <w:lang w:val="es-AR"/>
        </w:rPr>
        <w:t>No, no me siento segura/confiada caminando sola de noche en mi barrio</w:t>
      </w:r>
    </w:p>
    <w:p w14:paraId="611327D4" w14:textId="0CAC26F4" w:rsidR="00E1064B" w:rsidRPr="00F62CC9" w:rsidRDefault="00E1064B" w:rsidP="00E106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iCs/>
          <w:sz w:val="20"/>
          <w:szCs w:val="20"/>
          <w:lang w:val="es-AR"/>
        </w:rPr>
      </w:pPr>
      <w:r>
        <w:rPr>
          <w:rFonts w:ascii="Calibri" w:eastAsia="Calibri" w:hAnsi="Calibri" w:cs="Calibri"/>
          <w:i/>
          <w:iCs/>
          <w:noProof/>
          <w:sz w:val="20"/>
          <w:szCs w:val="20"/>
          <w:lang w:val="es-AR"/>
        </w:rPr>
        <w:drawing>
          <wp:inline distT="0" distB="0" distL="0" distR="0" wp14:anchorId="4CA338CC" wp14:editId="571D1123">
            <wp:extent cx="4952365" cy="3114193"/>
            <wp:effectExtent l="0" t="0" r="635" b="10160"/>
            <wp:docPr id="850694006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926B70D" w14:textId="77777777" w:rsidR="004B41BE" w:rsidRPr="00F62CC9" w:rsidRDefault="004B41BE" w:rsidP="004B41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iCs/>
          <w:sz w:val="20"/>
          <w:szCs w:val="20"/>
          <w:lang w:val="es-AR"/>
        </w:rPr>
      </w:pPr>
      <w:proofErr w:type="gramStart"/>
      <w:r w:rsidRPr="00F62CC9">
        <w:rPr>
          <w:rFonts w:ascii="Calibri" w:eastAsia="Calibri" w:hAnsi="Calibri" w:cs="Calibri"/>
          <w:i/>
          <w:iCs/>
          <w:sz w:val="20"/>
          <w:szCs w:val="20"/>
          <w:lang w:val="es-AR"/>
        </w:rPr>
        <w:t xml:space="preserve">Fuente WIN </w:t>
      </w:r>
      <w:proofErr w:type="spellStart"/>
      <w:r w:rsidRPr="00F62CC9">
        <w:rPr>
          <w:rFonts w:ascii="Calibri" w:eastAsia="Calibri" w:hAnsi="Calibri" w:cs="Calibri"/>
          <w:i/>
          <w:iCs/>
          <w:sz w:val="20"/>
          <w:szCs w:val="20"/>
          <w:lang w:val="es-AR"/>
        </w:rPr>
        <w:t>Voices</w:t>
      </w:r>
      <w:proofErr w:type="spellEnd"/>
      <w:r w:rsidRPr="00F62CC9">
        <w:rPr>
          <w:rFonts w:ascii="Calibri" w:eastAsia="Calibri" w:hAnsi="Calibri" w:cs="Calibri"/>
          <w:i/>
          <w:iCs/>
          <w:sz w:val="20"/>
          <w:szCs w:val="20"/>
          <w:lang w:val="es-AR"/>
        </w:rPr>
        <w:t>!</w:t>
      </w:r>
      <w:proofErr w:type="gramEnd"/>
      <w:r w:rsidRPr="00F62CC9">
        <w:rPr>
          <w:rFonts w:ascii="Calibri" w:eastAsia="Calibri" w:hAnsi="Calibri" w:cs="Calibri"/>
          <w:i/>
          <w:iCs/>
          <w:sz w:val="20"/>
          <w:szCs w:val="20"/>
          <w:lang w:val="es-AR"/>
        </w:rPr>
        <w:t xml:space="preserve"> En Argentina</w:t>
      </w:r>
    </w:p>
    <w:p w14:paraId="0231A446" w14:textId="72730376" w:rsidR="00E1064B" w:rsidRPr="00D03849" w:rsidRDefault="00E1064B" w:rsidP="00E1064B">
      <w:pPr>
        <w:pBdr>
          <w:top w:val="nil"/>
          <w:left w:val="nil"/>
          <w:bottom w:val="nil"/>
          <w:right w:val="nil"/>
          <w:between w:val="nil"/>
        </w:pBdr>
        <w:tabs>
          <w:tab w:val="left" w:pos="3315"/>
        </w:tabs>
        <w:jc w:val="both"/>
        <w:rPr>
          <w:rFonts w:ascii="Calibri" w:eastAsia="Calibri" w:hAnsi="Calibri" w:cs="Calibri"/>
          <w:sz w:val="24"/>
          <w:szCs w:val="24"/>
          <w:lang w:val="es-AR"/>
        </w:rPr>
      </w:pPr>
    </w:p>
    <w:p w14:paraId="7B6C9AA0" w14:textId="77777777" w:rsidR="008F65BB" w:rsidRPr="00D03849" w:rsidRDefault="00000000">
      <w:pPr>
        <w:spacing w:before="240" w:after="20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lang w:val="es-AR"/>
        </w:rPr>
        <w:br w:type="page"/>
      </w:r>
    </w:p>
    <w:p w14:paraId="1074D45A" w14:textId="77777777" w:rsidR="008F65BB" w:rsidRPr="00D03849" w:rsidRDefault="00000000">
      <w:pPr>
        <w:spacing w:before="240" w:after="20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lastRenderedPageBreak/>
        <w:t xml:space="preserve">Constanza Cilley, </w:t>
      </w:r>
      <w:proofErr w:type="gramStart"/>
      <w:r w:rsidRPr="00D03849">
        <w:rPr>
          <w:rFonts w:ascii="Calibri" w:eastAsia="Calibri" w:hAnsi="Calibri" w:cs="Calibri"/>
          <w:sz w:val="24"/>
          <w:szCs w:val="24"/>
          <w:lang w:val="es-AR"/>
        </w:rPr>
        <w:t>Directora Ejecutiva</w:t>
      </w:r>
      <w:proofErr w:type="gram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de </w:t>
      </w:r>
      <w:proofErr w:type="spellStart"/>
      <w:r w:rsidRPr="00D03849">
        <w:rPr>
          <w:rFonts w:ascii="Calibri" w:eastAsia="Calibri" w:hAnsi="Calibri" w:cs="Calibri"/>
          <w:sz w:val="24"/>
          <w:szCs w:val="24"/>
          <w:lang w:val="es-AR"/>
        </w:rPr>
        <w:t>Voices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>!, comentó:</w:t>
      </w:r>
    </w:p>
    <w:p w14:paraId="6D034DA5" w14:textId="7CC02CCF" w:rsidR="008F65BB" w:rsidRPr="00F568AE" w:rsidRDefault="00F568AE">
      <w:pPr>
        <w:spacing w:before="240" w:after="20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F568AE">
        <w:rPr>
          <w:rFonts w:ascii="Calibri" w:eastAsia="Calibri" w:hAnsi="Calibri" w:cs="Calibri"/>
          <w:sz w:val="24"/>
          <w:szCs w:val="24"/>
          <w:lang w:val="es-AR"/>
        </w:rPr>
        <w:t>“</w:t>
      </w:r>
      <w:r w:rsidR="00D03849" w:rsidRPr="00F568AE">
        <w:rPr>
          <w:rFonts w:ascii="Calibri" w:eastAsia="Calibri" w:hAnsi="Calibri" w:cs="Calibri"/>
          <w:sz w:val="24"/>
          <w:szCs w:val="24"/>
          <w:lang w:val="es-AR"/>
        </w:rPr>
        <w:t xml:space="preserve">En los 6 años que venimos realizando este relevamiento en el país nos encontramos con el mismo hallazgo preocupante: Argentina siempre </w:t>
      </w:r>
      <w:r w:rsidR="00DA20D7" w:rsidRPr="00F568AE">
        <w:rPr>
          <w:rFonts w:ascii="Calibri" w:eastAsia="Calibri" w:hAnsi="Calibri" w:cs="Calibri"/>
          <w:sz w:val="24"/>
          <w:szCs w:val="24"/>
          <w:lang w:val="es-AR"/>
        </w:rPr>
        <w:t xml:space="preserve">destaca </w:t>
      </w:r>
      <w:r w:rsidR="00D03849" w:rsidRPr="00F568AE">
        <w:rPr>
          <w:rFonts w:ascii="Calibri" w:eastAsia="Calibri" w:hAnsi="Calibri" w:cs="Calibri"/>
          <w:sz w:val="24"/>
          <w:szCs w:val="24"/>
          <w:lang w:val="es-AR"/>
        </w:rPr>
        <w:t xml:space="preserve">entre los </w:t>
      </w:r>
      <w:r w:rsidR="00DA20D7" w:rsidRPr="00F568AE">
        <w:rPr>
          <w:rFonts w:ascii="Calibri" w:eastAsia="Calibri" w:hAnsi="Calibri" w:cs="Calibri"/>
          <w:sz w:val="24"/>
          <w:szCs w:val="24"/>
          <w:lang w:val="es-AR"/>
        </w:rPr>
        <w:t xml:space="preserve">países donde más mujeres declaran haber sido </w:t>
      </w:r>
      <w:r w:rsidR="00B839A8" w:rsidRPr="00F568AE">
        <w:rPr>
          <w:rFonts w:ascii="Calibri" w:eastAsia="Calibri" w:hAnsi="Calibri" w:cs="Calibri"/>
          <w:sz w:val="24"/>
          <w:szCs w:val="24"/>
          <w:lang w:val="es-AR"/>
        </w:rPr>
        <w:t>víctimas</w:t>
      </w:r>
      <w:r w:rsidR="00DA20D7" w:rsidRPr="00F568AE">
        <w:rPr>
          <w:rFonts w:ascii="Calibri" w:eastAsia="Calibri" w:hAnsi="Calibri" w:cs="Calibri"/>
          <w:sz w:val="24"/>
          <w:szCs w:val="24"/>
          <w:lang w:val="es-AR"/>
        </w:rPr>
        <w:t xml:space="preserve"> de violencia física o </w:t>
      </w:r>
      <w:r w:rsidR="00B839A8" w:rsidRPr="00F568AE">
        <w:rPr>
          <w:rFonts w:ascii="Calibri" w:eastAsia="Calibri" w:hAnsi="Calibri" w:cs="Calibri"/>
          <w:sz w:val="24"/>
          <w:szCs w:val="24"/>
          <w:lang w:val="es-AR"/>
        </w:rPr>
        <w:t>psicológica</w:t>
      </w:r>
      <w:r w:rsidR="00DA20D7" w:rsidRPr="00F568AE">
        <w:rPr>
          <w:rFonts w:ascii="Calibri" w:eastAsia="Calibri" w:hAnsi="Calibri" w:cs="Calibri"/>
          <w:sz w:val="24"/>
          <w:szCs w:val="24"/>
          <w:lang w:val="es-AR"/>
        </w:rPr>
        <w:t xml:space="preserve">. Crece este porcentual entre </w:t>
      </w:r>
      <w:r w:rsidRPr="00F568AE">
        <w:rPr>
          <w:rFonts w:ascii="Calibri" w:eastAsia="Calibri" w:hAnsi="Calibri" w:cs="Calibri"/>
          <w:sz w:val="24"/>
          <w:szCs w:val="24"/>
          <w:lang w:val="es-AR"/>
        </w:rPr>
        <w:t>mujeres de 35 a 49 años</w:t>
      </w:r>
      <w:r w:rsidR="00B513BA">
        <w:rPr>
          <w:rFonts w:ascii="Calibri" w:eastAsia="Calibri" w:hAnsi="Calibri" w:cs="Calibri"/>
          <w:sz w:val="24"/>
          <w:szCs w:val="24"/>
          <w:lang w:val="es-AR"/>
        </w:rPr>
        <w:t>.”</w:t>
      </w:r>
    </w:p>
    <w:p w14:paraId="32C6A1B0" w14:textId="77777777" w:rsidR="008F65BB" w:rsidRPr="00B00902" w:rsidRDefault="00000000">
      <w:pPr>
        <w:spacing w:before="240" w:after="200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B00902">
        <w:rPr>
          <w:rFonts w:ascii="Calibri" w:eastAsia="Calibri" w:hAnsi="Calibri" w:cs="Calibri"/>
          <w:sz w:val="24"/>
          <w:szCs w:val="24"/>
          <w:lang w:val="es-AR"/>
        </w:rPr>
        <w:t xml:space="preserve">Richard Colwell, </w:t>
      </w:r>
      <w:proofErr w:type="gramStart"/>
      <w:r w:rsidRPr="00B00902">
        <w:rPr>
          <w:rFonts w:ascii="Calibri" w:eastAsia="Calibri" w:hAnsi="Calibri" w:cs="Calibri"/>
          <w:sz w:val="24"/>
          <w:szCs w:val="24"/>
          <w:lang w:val="es-AR"/>
        </w:rPr>
        <w:t>Presidente</w:t>
      </w:r>
      <w:proofErr w:type="gramEnd"/>
      <w:r w:rsidRPr="00B00902">
        <w:rPr>
          <w:rFonts w:ascii="Calibri" w:eastAsia="Calibri" w:hAnsi="Calibri" w:cs="Calibri"/>
          <w:sz w:val="24"/>
          <w:szCs w:val="24"/>
          <w:lang w:val="es-AR"/>
        </w:rPr>
        <w:t xml:space="preserve"> de WIN, comentó: </w:t>
      </w:r>
    </w:p>
    <w:p w14:paraId="0935A266" w14:textId="77777777" w:rsidR="008F65BB" w:rsidRPr="00D03849" w:rsidRDefault="00000000">
      <w:pPr>
        <w:spacing w:before="240" w:after="200"/>
        <w:jc w:val="both"/>
        <w:rPr>
          <w:rFonts w:ascii="Calibri" w:eastAsia="Calibri" w:hAnsi="Calibri" w:cs="Calibri"/>
          <w:sz w:val="28"/>
          <w:szCs w:val="28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>"Lo que observamos a nivel global es una percepción de progreso institucional, particularmente en los ámbitos laborales y políticos. Sin embargo, las realidades vividas por las mujeres cuentan una historia diferente: la violencia, el acoso y la inseguridad siguen siendo persistentes y, en muchos casos, no han cambiado. Esto subraya una verdad fundamental: la igualdad en el papel o en las políticas no es suficiente. Sin seguridad física y protección frente a las violencias basadas en género, la verdadera igualdad sigue siendo incompleta, y los esfuerzos por cerrar la brecha entre la percepción y la realidad deben seguir siendo urgentes y sostenidos.”</w:t>
      </w:r>
    </w:p>
    <w:p w14:paraId="69A3E524" w14:textId="77777777" w:rsidR="008F65BB" w:rsidRPr="00D03849" w:rsidRDefault="008F65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</w:p>
    <w:p w14:paraId="4F9A77DC" w14:textId="77777777" w:rsidR="008F65BB" w:rsidRPr="00D03849" w:rsidRDefault="008F65BB">
      <w:pPr>
        <w:jc w:val="both"/>
        <w:rPr>
          <w:rFonts w:ascii="Calibri" w:eastAsia="Calibri" w:hAnsi="Calibri" w:cs="Calibri"/>
          <w:sz w:val="24"/>
          <w:szCs w:val="24"/>
          <w:lang w:val="es-AR"/>
        </w:rPr>
      </w:pPr>
    </w:p>
    <w:p w14:paraId="73F50E55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  <w:r w:rsidRPr="00D03849">
        <w:rPr>
          <w:lang w:val="es-AR"/>
        </w:rPr>
        <w:br w:type="page"/>
      </w:r>
    </w:p>
    <w:p w14:paraId="1B33C3CC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lastRenderedPageBreak/>
        <w:t>Acerca de la Encuesta WIN</w:t>
      </w:r>
    </w:p>
    <w:p w14:paraId="2BEB38C2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proofErr w:type="spellStart"/>
      <w:r w:rsidRPr="00D03849">
        <w:rPr>
          <w:rFonts w:ascii="Calibri" w:eastAsia="Calibri" w:hAnsi="Calibri" w:cs="Calibri"/>
          <w:sz w:val="24"/>
          <w:szCs w:val="24"/>
          <w:lang w:val="es-AR"/>
        </w:rPr>
        <w:t>Worldwide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Independent Network </w:t>
      </w:r>
      <w:proofErr w:type="spellStart"/>
      <w:r w:rsidRPr="00D03849">
        <w:rPr>
          <w:rFonts w:ascii="Calibri" w:eastAsia="Calibri" w:hAnsi="Calibri" w:cs="Calibri"/>
          <w:sz w:val="24"/>
          <w:szCs w:val="24"/>
          <w:lang w:val="es-AR"/>
        </w:rPr>
        <w:t>of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Market </w:t>
      </w:r>
      <w:proofErr w:type="spellStart"/>
      <w:r w:rsidRPr="00D03849">
        <w:rPr>
          <w:rFonts w:ascii="Calibri" w:eastAsia="Calibri" w:hAnsi="Calibri" w:cs="Calibri"/>
          <w:sz w:val="24"/>
          <w:szCs w:val="24"/>
          <w:lang w:val="es-AR"/>
        </w:rPr>
        <w:t>Research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(WIN) es una red global que realiza Investigación de Mercado y Encuestas de opinión en todos los continentes – </w:t>
      </w:r>
      <w:proofErr w:type="spellStart"/>
      <w:r w:rsidRPr="00D03849">
        <w:rPr>
          <w:rFonts w:ascii="Calibri" w:eastAsia="Calibri" w:hAnsi="Calibri" w:cs="Calibri"/>
          <w:sz w:val="24"/>
          <w:szCs w:val="24"/>
          <w:lang w:val="es-AR"/>
        </w:rPr>
        <w:t>Voices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>! es integrante de la red realizando los estudios en Argentina.</w:t>
      </w:r>
    </w:p>
    <w:p w14:paraId="79ED4789" w14:textId="77777777" w:rsidR="008F65BB" w:rsidRPr="00D03849" w:rsidRDefault="008F65BB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</w:p>
    <w:p w14:paraId="1EDE438A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Metodología </w:t>
      </w:r>
    </w:p>
    <w:p w14:paraId="4FD1C6D8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La encuesta se realizó en 44 países utilizando métodos de encuesta CAWI / CATI / F2F/ TAPI /online. </w:t>
      </w:r>
    </w:p>
    <w:p w14:paraId="3DC631C6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Tamaño muestral global: Se entrevistó a un total de 45.000 individuos. </w:t>
      </w:r>
    </w:p>
    <w:p w14:paraId="77704295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>Trabajo de campo del estudio: noviembre 2025 - febrero 2026</w:t>
      </w:r>
    </w:p>
    <w:p w14:paraId="28B73D2D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>En Argentina se realizaron 1007 encuestas autoadministradas de manera online entre población adulta de 18 años y más a nivel nacional.</w:t>
      </w:r>
    </w:p>
    <w:p w14:paraId="18B2A252" w14:textId="56AC2C98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>Fecha de trabajo de campo en Argentina:</w:t>
      </w:r>
      <w:r w:rsidR="00062F7F">
        <w:rPr>
          <w:rFonts w:ascii="Calibri" w:eastAsia="Calibri" w:hAnsi="Calibri" w:cs="Calibri"/>
          <w:sz w:val="24"/>
          <w:szCs w:val="24"/>
          <w:lang w:val="es-AR"/>
        </w:rPr>
        <w:t xml:space="preserve"> enero 2026</w:t>
      </w:r>
    </w:p>
    <w:p w14:paraId="1809D565" w14:textId="77777777" w:rsidR="008F65BB" w:rsidRPr="00D03849" w:rsidRDefault="008F65BB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</w:p>
    <w:p w14:paraId="4C4C409C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proofErr w:type="gramStart"/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 xml:space="preserve">Acerca de </w:t>
      </w:r>
      <w:proofErr w:type="spellStart"/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Voices</w:t>
      </w:r>
      <w:proofErr w:type="spellEnd"/>
      <w:r w:rsidRPr="00D03849">
        <w:rPr>
          <w:rFonts w:ascii="Calibri" w:eastAsia="Calibri" w:hAnsi="Calibri" w:cs="Calibri"/>
          <w:b/>
          <w:bCs/>
          <w:sz w:val="24"/>
          <w:szCs w:val="24"/>
          <w:lang w:val="es-AR"/>
        </w:rPr>
        <w:t>!</w:t>
      </w:r>
      <w:proofErr w:type="gramEnd"/>
    </w:p>
    <w:p w14:paraId="24576E00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proofErr w:type="spellStart"/>
      <w:r w:rsidRPr="00D03849">
        <w:rPr>
          <w:rFonts w:ascii="Calibri" w:eastAsia="Calibri" w:hAnsi="Calibri" w:cs="Calibri"/>
          <w:sz w:val="24"/>
          <w:szCs w:val="24"/>
          <w:lang w:val="es-AR"/>
        </w:rPr>
        <w:t>Voices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! </w:t>
      </w:r>
      <w:proofErr w:type="spellStart"/>
      <w:r w:rsidRPr="00D03849">
        <w:rPr>
          <w:rFonts w:ascii="Calibri" w:eastAsia="Calibri" w:hAnsi="Calibri" w:cs="Calibri"/>
          <w:sz w:val="24"/>
          <w:szCs w:val="24"/>
          <w:lang w:val="es-AR"/>
        </w:rPr>
        <w:t>Research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&amp; </w:t>
      </w:r>
      <w:proofErr w:type="spellStart"/>
      <w:r w:rsidRPr="00D03849">
        <w:rPr>
          <w:rFonts w:ascii="Calibri" w:eastAsia="Calibri" w:hAnsi="Calibri" w:cs="Calibri"/>
          <w:sz w:val="24"/>
          <w:szCs w:val="24"/>
          <w:lang w:val="es-AR"/>
        </w:rPr>
        <w:t>Consultancy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es una empresa con foco en la investigación social, política y de mercado, con el objetivo de proporcionar consultoría a las organizaciones usando rigurosas metodologías y enfoques innovadores. </w:t>
      </w:r>
      <w:proofErr w:type="gramStart"/>
      <w:r w:rsidRPr="00D03849">
        <w:rPr>
          <w:rFonts w:ascii="Calibri" w:eastAsia="Calibri" w:hAnsi="Calibri" w:cs="Calibri"/>
          <w:sz w:val="24"/>
          <w:szCs w:val="24"/>
          <w:lang w:val="es-AR"/>
        </w:rPr>
        <w:t>El equipo de VOICES!</w:t>
      </w:r>
      <w:proofErr w:type="gram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tiene una amplia experiencia en estudios nacionales e internacionales y ha participado en las investigaciones con encuestas más importantes del mundo.</w:t>
      </w:r>
    </w:p>
    <w:p w14:paraId="4923BADC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proofErr w:type="spellStart"/>
      <w:r w:rsidRPr="00D03849">
        <w:rPr>
          <w:rFonts w:ascii="Calibri" w:eastAsia="Calibri" w:hAnsi="Calibri" w:cs="Calibri"/>
          <w:sz w:val="24"/>
          <w:szCs w:val="24"/>
          <w:lang w:val="es-AR"/>
        </w:rPr>
        <w:t>Voices</w:t>
      </w:r>
      <w:proofErr w:type="spellEnd"/>
      <w:r w:rsidRPr="00D03849">
        <w:rPr>
          <w:rFonts w:ascii="Calibri" w:eastAsia="Calibri" w:hAnsi="Calibri" w:cs="Calibri"/>
          <w:sz w:val="24"/>
          <w:szCs w:val="24"/>
          <w:lang w:val="es-AR"/>
        </w:rPr>
        <w:t>! es integrante de la red realizando los estudios en Argentina.</w:t>
      </w:r>
    </w:p>
    <w:p w14:paraId="7AC460FC" w14:textId="77777777" w:rsidR="008F65BB" w:rsidRDefault="008F65BB">
      <w:pPr>
        <w:spacing w:after="160" w:line="278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467886"/>
            <w:sz w:val="24"/>
            <w:szCs w:val="24"/>
            <w:u w:val="single"/>
          </w:rPr>
          <w:t>http://www.voicesconsultancy.com/</w:t>
        </w:r>
      </w:hyperlink>
      <w:r>
        <w:rPr>
          <w:rFonts w:ascii="Calibri" w:eastAsia="Calibri" w:hAnsi="Calibri" w:cs="Calibri"/>
          <w:sz w:val="24"/>
          <w:szCs w:val="24"/>
        </w:rPr>
        <w:t>  </w:t>
      </w:r>
    </w:p>
    <w:p w14:paraId="5AC9A64C" w14:textId="77777777" w:rsidR="008F65BB" w:rsidRDefault="008F65BB">
      <w:pPr>
        <w:spacing w:after="160" w:line="278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4FD8A1B" w14:textId="77777777" w:rsidR="008F65BB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Contacto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Voices!:</w:t>
      </w:r>
      <w:proofErr w:type="gramEnd"/>
    </w:p>
    <w:p w14:paraId="0DA7CEC8" w14:textId="77777777" w:rsidR="008F65BB" w:rsidRPr="00D03849" w:rsidRDefault="00000000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  <w:lang w:val="es-AR"/>
        </w:rPr>
      </w:pPr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Constanza Cilley | </w:t>
      </w:r>
      <w:proofErr w:type="gramStart"/>
      <w:r w:rsidRPr="00D03849">
        <w:rPr>
          <w:rFonts w:ascii="Calibri" w:eastAsia="Calibri" w:hAnsi="Calibri" w:cs="Calibri"/>
          <w:sz w:val="24"/>
          <w:szCs w:val="24"/>
          <w:lang w:val="es-AR"/>
        </w:rPr>
        <w:t>Directora Ejecutiva</w:t>
      </w:r>
      <w:proofErr w:type="gramEnd"/>
      <w:r w:rsidRPr="00D03849">
        <w:rPr>
          <w:rFonts w:ascii="Calibri" w:eastAsia="Calibri" w:hAnsi="Calibri" w:cs="Calibri"/>
          <w:sz w:val="24"/>
          <w:szCs w:val="24"/>
          <w:lang w:val="es-AR"/>
        </w:rPr>
        <w:t xml:space="preserve"> VOICES!</w:t>
      </w:r>
    </w:p>
    <w:p w14:paraId="79B47F22" w14:textId="77777777" w:rsidR="008F65BB" w:rsidRDefault="008F65BB">
      <w:pPr>
        <w:spacing w:after="160" w:line="278" w:lineRule="auto"/>
        <w:jc w:val="both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467886"/>
            <w:sz w:val="24"/>
            <w:szCs w:val="24"/>
            <w:u w:val="single"/>
          </w:rPr>
          <w:t>constanzacilley@voicesconsultancy.com</w:t>
        </w:r>
      </w:hyperlink>
    </w:p>
    <w:p w14:paraId="1C7E2933" w14:textId="77777777" w:rsidR="008F65BB" w:rsidRDefault="00000000">
      <w:pPr>
        <w:spacing w:after="160" w:line="278" w:lineRule="auto"/>
        <w:jc w:val="both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sz w:val="24"/>
          <w:szCs w:val="24"/>
        </w:rPr>
        <w:t>Cel: 1565724467</w:t>
      </w:r>
    </w:p>
    <w:sectPr w:rsidR="008F65BB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A2BC0" w14:textId="77777777" w:rsidR="00E144DD" w:rsidRDefault="00E144DD">
      <w:pPr>
        <w:spacing w:line="240" w:lineRule="auto"/>
      </w:pPr>
      <w:r>
        <w:separator/>
      </w:r>
    </w:p>
  </w:endnote>
  <w:endnote w:type="continuationSeparator" w:id="0">
    <w:p w14:paraId="141092CD" w14:textId="77777777" w:rsidR="00E144DD" w:rsidRDefault="00E144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918389-077E-4955-9F1E-B9B078CDFE35}"/>
    <w:embedBold r:id="rId2" w:fontKey="{6640B646-168D-420D-A1BB-C69ED2383FCF}"/>
    <w:embedItalic r:id="rId3" w:fontKey="{4D7CFE9C-A62A-4F29-84B6-57C4915466FE}"/>
    <w:embedBoldItalic r:id="rId4" w:fontKey="{E1156E33-88CD-43B8-AB35-7502B183BD9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B9EBD50C-F0C7-499D-93F0-C2B41375E3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DA2A6F-D731-4D51-A2FF-C96A23C87E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399A4" w14:textId="77777777" w:rsidR="00E144DD" w:rsidRDefault="00E144DD">
      <w:pPr>
        <w:spacing w:line="240" w:lineRule="auto"/>
      </w:pPr>
      <w:r>
        <w:separator/>
      </w:r>
    </w:p>
  </w:footnote>
  <w:footnote w:type="continuationSeparator" w:id="0">
    <w:p w14:paraId="3EB58A16" w14:textId="77777777" w:rsidR="00E144DD" w:rsidRDefault="00E144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EC87" w14:textId="050C336B" w:rsidR="008F65BB" w:rsidRDefault="00000000" w:rsidP="00F62CC9">
    <w:pPr>
      <w:tabs>
        <w:tab w:val="center" w:pos="4252"/>
        <w:tab w:val="right" w:pos="8504"/>
      </w:tabs>
      <w:spacing w:line="240" w:lineRule="auto"/>
    </w:pPr>
    <w:r>
      <w:rPr>
        <w:rFonts w:ascii="Aptos" w:eastAsia="Aptos" w:hAnsi="Aptos" w:cs="Aptos"/>
        <w:noProof/>
        <w:sz w:val="24"/>
        <w:szCs w:val="24"/>
      </w:rPr>
      <w:drawing>
        <wp:inline distT="0" distB="0" distL="0" distR="0" wp14:anchorId="479AF3E6" wp14:editId="4922FD7A">
          <wp:extent cx="1130060" cy="819509"/>
          <wp:effectExtent l="0" t="0" r="0" b="0"/>
          <wp:docPr id="2" name="image1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bre de la empresa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2374" cy="8211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F62CC9">
      <w:tab/>
      <w:t xml:space="preserve">  </w:t>
    </w:r>
    <w:r w:rsidR="00F62CC9">
      <w:tab/>
      <w:t xml:space="preserve">        .                                  </w:t>
    </w:r>
    <w:r>
      <w:rPr>
        <w:rFonts w:ascii="Aptos" w:eastAsia="Aptos" w:hAnsi="Aptos" w:cs="Aptos"/>
        <w:noProof/>
        <w:sz w:val="24"/>
        <w:szCs w:val="24"/>
      </w:rPr>
      <w:drawing>
        <wp:inline distT="0" distB="0" distL="0" distR="0" wp14:anchorId="6A6B22FE" wp14:editId="039D967C">
          <wp:extent cx="1492370" cy="494186"/>
          <wp:effectExtent l="0" t="0" r="0" b="1270"/>
          <wp:docPr id="1" name="image2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que contiene 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2174" cy="5206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F62CC9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5BB"/>
    <w:rsid w:val="00062F7F"/>
    <w:rsid w:val="000D6D02"/>
    <w:rsid w:val="00115A3C"/>
    <w:rsid w:val="001604CF"/>
    <w:rsid w:val="00181F3E"/>
    <w:rsid w:val="0028260B"/>
    <w:rsid w:val="00326934"/>
    <w:rsid w:val="004844AF"/>
    <w:rsid w:val="004B41BE"/>
    <w:rsid w:val="0051604B"/>
    <w:rsid w:val="005F0D59"/>
    <w:rsid w:val="00676EE2"/>
    <w:rsid w:val="007502C4"/>
    <w:rsid w:val="007A3FBF"/>
    <w:rsid w:val="00843204"/>
    <w:rsid w:val="008F65BB"/>
    <w:rsid w:val="00952C1A"/>
    <w:rsid w:val="00973B33"/>
    <w:rsid w:val="009B1C3E"/>
    <w:rsid w:val="00A30A04"/>
    <w:rsid w:val="00A52B31"/>
    <w:rsid w:val="00A712D8"/>
    <w:rsid w:val="00AC2A2B"/>
    <w:rsid w:val="00AD58E7"/>
    <w:rsid w:val="00B00902"/>
    <w:rsid w:val="00B304B3"/>
    <w:rsid w:val="00B513BA"/>
    <w:rsid w:val="00B839A8"/>
    <w:rsid w:val="00BF2FAD"/>
    <w:rsid w:val="00CA3323"/>
    <w:rsid w:val="00D03849"/>
    <w:rsid w:val="00DA20D7"/>
    <w:rsid w:val="00E1064B"/>
    <w:rsid w:val="00E144DD"/>
    <w:rsid w:val="00F568AE"/>
    <w:rsid w:val="00F62CC9"/>
    <w:rsid w:val="00F92195"/>
    <w:rsid w:val="00FB1A30"/>
    <w:rsid w:val="00FC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C92294"/>
  <w15:docId w15:val="{481CB011-834E-4506-A68E-744A5C013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1B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D038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0384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0384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38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3849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62CC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2CC9"/>
  </w:style>
  <w:style w:type="paragraph" w:styleId="Piedepgina">
    <w:name w:val="footer"/>
    <w:basedOn w:val="Normal"/>
    <w:link w:val="PiedepginaCar"/>
    <w:uiPriority w:val="99"/>
    <w:unhideWhenUsed/>
    <w:rsid w:val="00F62CC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icesconsultancy.com/" TargetMode="Externa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nstanzacilley@voicesconsultancy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Hoja1!$A$2:$A$45</c:f>
              <c:strCache>
                <c:ptCount val="44"/>
                <c:pt idx="0">
                  <c:v>Vietnam</c:v>
                </c:pt>
                <c:pt idx="1">
                  <c:v>China</c:v>
                </c:pt>
                <c:pt idx="2">
                  <c:v>Georgia</c:v>
                </c:pt>
                <c:pt idx="3">
                  <c:v>Filipinas</c:v>
                </c:pt>
                <c:pt idx="4">
                  <c:v>Países Bajos</c:v>
                </c:pt>
                <c:pt idx="5">
                  <c:v>Irlanda</c:v>
                </c:pt>
                <c:pt idx="6">
                  <c:v>Noruega</c:v>
                </c:pt>
                <c:pt idx="7">
                  <c:v>Costa de Marfil</c:v>
                </c:pt>
                <c:pt idx="8">
                  <c:v>Dinamarca</c:v>
                </c:pt>
                <c:pt idx="9">
                  <c:v>España</c:v>
                </c:pt>
                <c:pt idx="10">
                  <c:v>Hong Kong</c:v>
                </c:pt>
                <c:pt idx="11">
                  <c:v>Croacia</c:v>
                </c:pt>
                <c:pt idx="12">
                  <c:v>Japón</c:v>
                </c:pt>
                <c:pt idx="13">
                  <c:v>Malasia</c:v>
                </c:pt>
                <c:pt idx="14">
                  <c:v>Polonia</c:v>
                </c:pt>
                <c:pt idx="15">
                  <c:v>Tailandia</c:v>
                </c:pt>
                <c:pt idx="16">
                  <c:v>Reino Unido</c:v>
                </c:pt>
                <c:pt idx="17">
                  <c:v>Perú</c:v>
                </c:pt>
                <c:pt idx="18">
                  <c:v>Pakistán</c:v>
                </c:pt>
                <c:pt idx="19">
                  <c:v>Suecia</c:v>
                </c:pt>
                <c:pt idx="20">
                  <c:v>Alemania</c:v>
                </c:pt>
                <c:pt idx="21">
                  <c:v>Francia</c:v>
                </c:pt>
                <c:pt idx="22">
                  <c:v>Italia</c:v>
                </c:pt>
                <c:pt idx="23">
                  <c:v>Eslovaquia</c:v>
                </c:pt>
                <c:pt idx="24">
                  <c:v>Canadá</c:v>
                </c:pt>
                <c:pt idx="25">
                  <c:v>Finlandia</c:v>
                </c:pt>
                <c:pt idx="26">
                  <c:v>Turquía</c:v>
                </c:pt>
                <c:pt idx="27">
                  <c:v>Australia</c:v>
                </c:pt>
                <c:pt idx="28">
                  <c:v>Eslovenia</c:v>
                </c:pt>
                <c:pt idx="29">
                  <c:v>Ecuador</c:v>
                </c:pt>
                <c:pt idx="30">
                  <c:v>Serbia</c:v>
                </c:pt>
                <c:pt idx="31">
                  <c:v>Estados Unidos</c:v>
                </c:pt>
                <c:pt idx="32">
                  <c:v>Brasil</c:v>
                </c:pt>
                <c:pt idx="33">
                  <c:v>Colombia</c:v>
                </c:pt>
                <c:pt idx="34">
                  <c:v>Paraguay</c:v>
                </c:pt>
                <c:pt idx="35">
                  <c:v>Corea del Sur</c:v>
                </c:pt>
                <c:pt idx="36">
                  <c:v>Chile</c:v>
                </c:pt>
                <c:pt idx="37">
                  <c:v>Venezuela</c:v>
                </c:pt>
                <c:pt idx="38">
                  <c:v>México</c:v>
                </c:pt>
                <c:pt idx="39">
                  <c:v>India</c:v>
                </c:pt>
                <c:pt idx="40">
                  <c:v>Grecia</c:v>
                </c:pt>
                <c:pt idx="41">
                  <c:v>Argentina</c:v>
                </c:pt>
                <c:pt idx="42">
                  <c:v>Indonesia</c:v>
                </c:pt>
                <c:pt idx="43">
                  <c:v>Marruecos</c:v>
                </c:pt>
              </c:strCache>
            </c:strRef>
          </c:cat>
          <c:val>
            <c:numRef>
              <c:f>Hoja1!$B$2:$B$45</c:f>
              <c:numCache>
                <c:formatCode>0%</c:formatCode>
                <c:ptCount val="44"/>
                <c:pt idx="0">
                  <c:v>0.01</c:v>
                </c:pt>
                <c:pt idx="1">
                  <c:v>0.03</c:v>
                </c:pt>
                <c:pt idx="2">
                  <c:v>0.05</c:v>
                </c:pt>
                <c:pt idx="3">
                  <c:v>7.0000000000000007E-2</c:v>
                </c:pt>
                <c:pt idx="4">
                  <c:v>0.08</c:v>
                </c:pt>
                <c:pt idx="5">
                  <c:v>0.1</c:v>
                </c:pt>
                <c:pt idx="6">
                  <c:v>0.1</c:v>
                </c:pt>
                <c:pt idx="7">
                  <c:v>0.12</c:v>
                </c:pt>
                <c:pt idx="8">
                  <c:v>0.12</c:v>
                </c:pt>
                <c:pt idx="9">
                  <c:v>0.12</c:v>
                </c:pt>
                <c:pt idx="10">
                  <c:v>0.12</c:v>
                </c:pt>
                <c:pt idx="11">
                  <c:v>0.12</c:v>
                </c:pt>
                <c:pt idx="12">
                  <c:v>0.13</c:v>
                </c:pt>
                <c:pt idx="13">
                  <c:v>0.13</c:v>
                </c:pt>
                <c:pt idx="14">
                  <c:v>0.13</c:v>
                </c:pt>
                <c:pt idx="15">
                  <c:v>0.13</c:v>
                </c:pt>
                <c:pt idx="16">
                  <c:v>0.14000000000000001</c:v>
                </c:pt>
                <c:pt idx="17">
                  <c:v>0.14000000000000001</c:v>
                </c:pt>
                <c:pt idx="18">
                  <c:v>0.14000000000000001</c:v>
                </c:pt>
                <c:pt idx="19">
                  <c:v>0.14000000000000001</c:v>
                </c:pt>
                <c:pt idx="20">
                  <c:v>0.15</c:v>
                </c:pt>
                <c:pt idx="21">
                  <c:v>0.15</c:v>
                </c:pt>
                <c:pt idx="22">
                  <c:v>0.15</c:v>
                </c:pt>
                <c:pt idx="23">
                  <c:v>0.15</c:v>
                </c:pt>
                <c:pt idx="24">
                  <c:v>0.16</c:v>
                </c:pt>
                <c:pt idx="25">
                  <c:v>0.17</c:v>
                </c:pt>
                <c:pt idx="26">
                  <c:v>0.17</c:v>
                </c:pt>
                <c:pt idx="27">
                  <c:v>0.18</c:v>
                </c:pt>
                <c:pt idx="28">
                  <c:v>0.18</c:v>
                </c:pt>
                <c:pt idx="29">
                  <c:v>0.2</c:v>
                </c:pt>
                <c:pt idx="30">
                  <c:v>0.2</c:v>
                </c:pt>
                <c:pt idx="31">
                  <c:v>0.21</c:v>
                </c:pt>
                <c:pt idx="32">
                  <c:v>0.22</c:v>
                </c:pt>
                <c:pt idx="33">
                  <c:v>0.22</c:v>
                </c:pt>
                <c:pt idx="34">
                  <c:v>0.22</c:v>
                </c:pt>
                <c:pt idx="35">
                  <c:v>0.24</c:v>
                </c:pt>
                <c:pt idx="36">
                  <c:v>0.27</c:v>
                </c:pt>
                <c:pt idx="37">
                  <c:v>0.28000000000000003</c:v>
                </c:pt>
                <c:pt idx="38">
                  <c:v>0.28999999999999998</c:v>
                </c:pt>
                <c:pt idx="39">
                  <c:v>0.33</c:v>
                </c:pt>
                <c:pt idx="40">
                  <c:v>0.34</c:v>
                </c:pt>
                <c:pt idx="41">
                  <c:v>0.34</c:v>
                </c:pt>
                <c:pt idx="42">
                  <c:v>0.36</c:v>
                </c:pt>
                <c:pt idx="43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2B-46EE-9A06-312254D793AC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Hoja1!$A$2:$A$45</c:f>
              <c:strCache>
                <c:ptCount val="44"/>
                <c:pt idx="0">
                  <c:v>Vietnam</c:v>
                </c:pt>
                <c:pt idx="1">
                  <c:v>China</c:v>
                </c:pt>
                <c:pt idx="2">
                  <c:v>Georgia</c:v>
                </c:pt>
                <c:pt idx="3">
                  <c:v>Filipinas</c:v>
                </c:pt>
                <c:pt idx="4">
                  <c:v>Países Bajos</c:v>
                </c:pt>
                <c:pt idx="5">
                  <c:v>Irlanda</c:v>
                </c:pt>
                <c:pt idx="6">
                  <c:v>Noruega</c:v>
                </c:pt>
                <c:pt idx="7">
                  <c:v>Costa de Marfil</c:v>
                </c:pt>
                <c:pt idx="8">
                  <c:v>Dinamarca</c:v>
                </c:pt>
                <c:pt idx="9">
                  <c:v>España</c:v>
                </c:pt>
                <c:pt idx="10">
                  <c:v>Hong Kong</c:v>
                </c:pt>
                <c:pt idx="11">
                  <c:v>Croacia</c:v>
                </c:pt>
                <c:pt idx="12">
                  <c:v>Japón</c:v>
                </c:pt>
                <c:pt idx="13">
                  <c:v>Malasia</c:v>
                </c:pt>
                <c:pt idx="14">
                  <c:v>Polonia</c:v>
                </c:pt>
                <c:pt idx="15">
                  <c:v>Tailandia</c:v>
                </c:pt>
                <c:pt idx="16">
                  <c:v>Reino Unido</c:v>
                </c:pt>
                <c:pt idx="17">
                  <c:v>Perú</c:v>
                </c:pt>
                <c:pt idx="18">
                  <c:v>Pakistán</c:v>
                </c:pt>
                <c:pt idx="19">
                  <c:v>Suecia</c:v>
                </c:pt>
                <c:pt idx="20">
                  <c:v>Alemania</c:v>
                </c:pt>
                <c:pt idx="21">
                  <c:v>Francia</c:v>
                </c:pt>
                <c:pt idx="22">
                  <c:v>Italia</c:v>
                </c:pt>
                <c:pt idx="23">
                  <c:v>Eslovaquia</c:v>
                </c:pt>
                <c:pt idx="24">
                  <c:v>Canadá</c:v>
                </c:pt>
                <c:pt idx="25">
                  <c:v>Finlandia</c:v>
                </c:pt>
                <c:pt idx="26">
                  <c:v>Turquía</c:v>
                </c:pt>
                <c:pt idx="27">
                  <c:v>Australia</c:v>
                </c:pt>
                <c:pt idx="28">
                  <c:v>Eslovenia</c:v>
                </c:pt>
                <c:pt idx="29">
                  <c:v>Ecuador</c:v>
                </c:pt>
                <c:pt idx="30">
                  <c:v>Serbia</c:v>
                </c:pt>
                <c:pt idx="31">
                  <c:v>Estados Unidos</c:v>
                </c:pt>
                <c:pt idx="32">
                  <c:v>Brasil</c:v>
                </c:pt>
                <c:pt idx="33">
                  <c:v>Colombia</c:v>
                </c:pt>
                <c:pt idx="34">
                  <c:v>Paraguay</c:v>
                </c:pt>
                <c:pt idx="35">
                  <c:v>Corea del Sur</c:v>
                </c:pt>
                <c:pt idx="36">
                  <c:v>Chile</c:v>
                </c:pt>
                <c:pt idx="37">
                  <c:v>Venezuela</c:v>
                </c:pt>
                <c:pt idx="38">
                  <c:v>México</c:v>
                </c:pt>
                <c:pt idx="39">
                  <c:v>India</c:v>
                </c:pt>
                <c:pt idx="40">
                  <c:v>Grecia</c:v>
                </c:pt>
                <c:pt idx="41">
                  <c:v>Argentina</c:v>
                </c:pt>
                <c:pt idx="42">
                  <c:v>Indonesia</c:v>
                </c:pt>
                <c:pt idx="43">
                  <c:v>Marruecos</c:v>
                </c:pt>
              </c:strCache>
            </c:strRef>
          </c:cat>
          <c:val>
            <c:numRef>
              <c:f>Hoja1!$C$2:$C$45</c:f>
              <c:numCache>
                <c:formatCode>0%</c:formatCode>
                <c:ptCount val="44"/>
                <c:pt idx="0">
                  <c:v>0.98</c:v>
                </c:pt>
                <c:pt idx="1">
                  <c:v>0.96</c:v>
                </c:pt>
                <c:pt idx="2">
                  <c:v>0.95</c:v>
                </c:pt>
                <c:pt idx="3">
                  <c:v>0.93</c:v>
                </c:pt>
                <c:pt idx="4">
                  <c:v>0.89</c:v>
                </c:pt>
                <c:pt idx="5">
                  <c:v>0.89</c:v>
                </c:pt>
                <c:pt idx="6">
                  <c:v>0.88</c:v>
                </c:pt>
                <c:pt idx="7">
                  <c:v>0.88</c:v>
                </c:pt>
                <c:pt idx="8">
                  <c:v>0.86</c:v>
                </c:pt>
                <c:pt idx="9">
                  <c:v>0.84</c:v>
                </c:pt>
                <c:pt idx="10">
                  <c:v>0.85</c:v>
                </c:pt>
                <c:pt idx="11">
                  <c:v>0.85</c:v>
                </c:pt>
                <c:pt idx="12">
                  <c:v>0.81</c:v>
                </c:pt>
                <c:pt idx="13">
                  <c:v>0.85</c:v>
                </c:pt>
                <c:pt idx="14">
                  <c:v>0.82</c:v>
                </c:pt>
                <c:pt idx="15">
                  <c:v>0.87</c:v>
                </c:pt>
                <c:pt idx="16">
                  <c:v>0.84</c:v>
                </c:pt>
                <c:pt idx="17">
                  <c:v>0.85</c:v>
                </c:pt>
                <c:pt idx="18">
                  <c:v>0.86</c:v>
                </c:pt>
                <c:pt idx="19">
                  <c:v>0.85</c:v>
                </c:pt>
                <c:pt idx="20">
                  <c:v>0.81</c:v>
                </c:pt>
                <c:pt idx="21">
                  <c:v>0.82</c:v>
                </c:pt>
                <c:pt idx="22">
                  <c:v>0.78</c:v>
                </c:pt>
                <c:pt idx="23">
                  <c:v>0.79</c:v>
                </c:pt>
                <c:pt idx="24">
                  <c:v>0.83</c:v>
                </c:pt>
                <c:pt idx="25">
                  <c:v>0.79</c:v>
                </c:pt>
                <c:pt idx="26">
                  <c:v>0.83</c:v>
                </c:pt>
                <c:pt idx="27">
                  <c:v>0.79</c:v>
                </c:pt>
                <c:pt idx="28">
                  <c:v>0.78</c:v>
                </c:pt>
                <c:pt idx="29">
                  <c:v>0.77</c:v>
                </c:pt>
                <c:pt idx="30">
                  <c:v>0.74</c:v>
                </c:pt>
                <c:pt idx="31">
                  <c:v>0.76</c:v>
                </c:pt>
                <c:pt idx="32">
                  <c:v>0.72</c:v>
                </c:pt>
                <c:pt idx="33">
                  <c:v>0.78</c:v>
                </c:pt>
                <c:pt idx="34">
                  <c:v>0.74</c:v>
                </c:pt>
                <c:pt idx="35">
                  <c:v>0.74</c:v>
                </c:pt>
                <c:pt idx="36">
                  <c:v>0.67</c:v>
                </c:pt>
                <c:pt idx="37">
                  <c:v>0.72</c:v>
                </c:pt>
                <c:pt idx="38">
                  <c:v>0.68</c:v>
                </c:pt>
                <c:pt idx="39">
                  <c:v>0.66</c:v>
                </c:pt>
                <c:pt idx="40">
                  <c:v>0.64</c:v>
                </c:pt>
                <c:pt idx="41">
                  <c:v>0.57999999999999996</c:v>
                </c:pt>
                <c:pt idx="42">
                  <c:v>0.64</c:v>
                </c:pt>
                <c:pt idx="43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2B-46EE-9A06-312254D793AC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No sabe/no responde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2B-46EE-9A06-312254D793A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2B-46EE-9A06-312254D793A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2B-46EE-9A06-312254D793AC}"/>
                </c:ext>
              </c:extLst>
            </c:dLbl>
            <c:dLbl>
              <c:idx val="4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2B-46EE-9A06-312254D793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A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Hoja1!$A$2:$A$45</c:f>
              <c:strCache>
                <c:ptCount val="44"/>
                <c:pt idx="0">
                  <c:v>Vietnam</c:v>
                </c:pt>
                <c:pt idx="1">
                  <c:v>China</c:v>
                </c:pt>
                <c:pt idx="2">
                  <c:v>Georgia</c:v>
                </c:pt>
                <c:pt idx="3">
                  <c:v>Filipinas</c:v>
                </c:pt>
                <c:pt idx="4">
                  <c:v>Países Bajos</c:v>
                </c:pt>
                <c:pt idx="5">
                  <c:v>Irlanda</c:v>
                </c:pt>
                <c:pt idx="6">
                  <c:v>Noruega</c:v>
                </c:pt>
                <c:pt idx="7">
                  <c:v>Costa de Marfil</c:v>
                </c:pt>
                <c:pt idx="8">
                  <c:v>Dinamarca</c:v>
                </c:pt>
                <c:pt idx="9">
                  <c:v>España</c:v>
                </c:pt>
                <c:pt idx="10">
                  <c:v>Hong Kong</c:v>
                </c:pt>
                <c:pt idx="11">
                  <c:v>Croacia</c:v>
                </c:pt>
                <c:pt idx="12">
                  <c:v>Japón</c:v>
                </c:pt>
                <c:pt idx="13">
                  <c:v>Malasia</c:v>
                </c:pt>
                <c:pt idx="14">
                  <c:v>Polonia</c:v>
                </c:pt>
                <c:pt idx="15">
                  <c:v>Tailandia</c:v>
                </c:pt>
                <c:pt idx="16">
                  <c:v>Reino Unido</c:v>
                </c:pt>
                <c:pt idx="17">
                  <c:v>Perú</c:v>
                </c:pt>
                <c:pt idx="18">
                  <c:v>Pakistán</c:v>
                </c:pt>
                <c:pt idx="19">
                  <c:v>Suecia</c:v>
                </c:pt>
                <c:pt idx="20">
                  <c:v>Alemania</c:v>
                </c:pt>
                <c:pt idx="21">
                  <c:v>Francia</c:v>
                </c:pt>
                <c:pt idx="22">
                  <c:v>Italia</c:v>
                </c:pt>
                <c:pt idx="23">
                  <c:v>Eslovaquia</c:v>
                </c:pt>
                <c:pt idx="24">
                  <c:v>Canadá</c:v>
                </c:pt>
                <c:pt idx="25">
                  <c:v>Finlandia</c:v>
                </c:pt>
                <c:pt idx="26">
                  <c:v>Turquía</c:v>
                </c:pt>
                <c:pt idx="27">
                  <c:v>Australia</c:v>
                </c:pt>
                <c:pt idx="28">
                  <c:v>Eslovenia</c:v>
                </c:pt>
                <c:pt idx="29">
                  <c:v>Ecuador</c:v>
                </c:pt>
                <c:pt idx="30">
                  <c:v>Serbia</c:v>
                </c:pt>
                <c:pt idx="31">
                  <c:v>Estados Unidos</c:v>
                </c:pt>
                <c:pt idx="32">
                  <c:v>Brasil</c:v>
                </c:pt>
                <c:pt idx="33">
                  <c:v>Colombia</c:v>
                </c:pt>
                <c:pt idx="34">
                  <c:v>Paraguay</c:v>
                </c:pt>
                <c:pt idx="35">
                  <c:v>Corea del Sur</c:v>
                </c:pt>
                <c:pt idx="36">
                  <c:v>Chile</c:v>
                </c:pt>
                <c:pt idx="37">
                  <c:v>Venezuela</c:v>
                </c:pt>
                <c:pt idx="38">
                  <c:v>México</c:v>
                </c:pt>
                <c:pt idx="39">
                  <c:v>India</c:v>
                </c:pt>
                <c:pt idx="40">
                  <c:v>Grecia</c:v>
                </c:pt>
                <c:pt idx="41">
                  <c:v>Argentina</c:v>
                </c:pt>
                <c:pt idx="42">
                  <c:v>Indonesia</c:v>
                </c:pt>
                <c:pt idx="43">
                  <c:v>Marruecos</c:v>
                </c:pt>
              </c:strCache>
            </c:strRef>
          </c:cat>
          <c:val>
            <c:numRef>
              <c:f>Hoja1!$D$2:$D$45</c:f>
              <c:numCache>
                <c:formatCode>0%</c:formatCode>
                <c:ptCount val="44"/>
                <c:pt idx="0">
                  <c:v>0</c:v>
                </c:pt>
                <c:pt idx="1">
                  <c:v>0.01</c:v>
                </c:pt>
                <c:pt idx="2">
                  <c:v>0</c:v>
                </c:pt>
                <c:pt idx="3">
                  <c:v>0</c:v>
                </c:pt>
                <c:pt idx="4">
                  <c:v>0.03</c:v>
                </c:pt>
                <c:pt idx="5">
                  <c:v>0.01</c:v>
                </c:pt>
                <c:pt idx="6">
                  <c:v>0.02</c:v>
                </c:pt>
                <c:pt idx="8">
                  <c:v>0.02</c:v>
                </c:pt>
                <c:pt idx="9">
                  <c:v>0.04</c:v>
                </c:pt>
                <c:pt idx="10">
                  <c:v>0.03</c:v>
                </c:pt>
                <c:pt idx="11">
                  <c:v>0.03</c:v>
                </c:pt>
                <c:pt idx="12">
                  <c:v>0.06</c:v>
                </c:pt>
                <c:pt idx="13">
                  <c:v>0.02</c:v>
                </c:pt>
                <c:pt idx="14">
                  <c:v>0.04</c:v>
                </c:pt>
                <c:pt idx="16">
                  <c:v>0.03</c:v>
                </c:pt>
                <c:pt idx="17">
                  <c:v>0.01</c:v>
                </c:pt>
                <c:pt idx="19">
                  <c:v>0.01</c:v>
                </c:pt>
                <c:pt idx="20">
                  <c:v>0.03</c:v>
                </c:pt>
                <c:pt idx="21">
                  <c:v>0.03</c:v>
                </c:pt>
                <c:pt idx="22">
                  <c:v>7.0000000000000007E-2</c:v>
                </c:pt>
                <c:pt idx="23">
                  <c:v>0.06</c:v>
                </c:pt>
                <c:pt idx="24">
                  <c:v>0.02</c:v>
                </c:pt>
                <c:pt idx="25">
                  <c:v>0.04</c:v>
                </c:pt>
                <c:pt idx="27">
                  <c:v>0.03</c:v>
                </c:pt>
                <c:pt idx="28">
                  <c:v>0.04</c:v>
                </c:pt>
                <c:pt idx="29">
                  <c:v>0.03</c:v>
                </c:pt>
                <c:pt idx="30">
                  <c:v>0.05</c:v>
                </c:pt>
                <c:pt idx="31">
                  <c:v>0.03</c:v>
                </c:pt>
                <c:pt idx="32">
                  <c:v>0.05</c:v>
                </c:pt>
                <c:pt idx="34">
                  <c:v>0.04</c:v>
                </c:pt>
                <c:pt idx="35">
                  <c:v>0.02</c:v>
                </c:pt>
                <c:pt idx="36">
                  <c:v>7.0000000000000007E-2</c:v>
                </c:pt>
                <c:pt idx="38">
                  <c:v>0.03</c:v>
                </c:pt>
                <c:pt idx="39">
                  <c:v>0.01</c:v>
                </c:pt>
                <c:pt idx="40">
                  <c:v>0.02</c:v>
                </c:pt>
                <c:pt idx="41">
                  <c:v>0.08</c:v>
                </c:pt>
                <c:pt idx="42">
                  <c:v>0</c:v>
                </c:pt>
                <c:pt idx="43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2B-46EE-9A06-312254D793A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overlap val="100"/>
        <c:axId val="1423809503"/>
        <c:axId val="1423792223"/>
      </c:barChart>
      <c:catAx>
        <c:axId val="14238095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AR"/>
          </a:p>
        </c:txPr>
        <c:crossAx val="1423792223"/>
        <c:crosses val="autoZero"/>
        <c:auto val="1"/>
        <c:lblAlgn val="ctr"/>
        <c:lblOffset val="100"/>
        <c:noMultiLvlLbl val="0"/>
      </c:catAx>
      <c:valAx>
        <c:axId val="1423792223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423809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000341962330854"/>
          <c:y val="0.94242641318554066"/>
          <c:w val="0.33999298311061371"/>
          <c:h val="3.17320761756980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A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208744710860368E-2"/>
          <c:y val="4.0273728018907926E-2"/>
          <c:w val="0.94358251057827924"/>
          <c:h val="0.865116697280702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Argentina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s-A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TOTAL</c:v>
                </c:pt>
                <c:pt idx="1">
                  <c:v>Mujeres</c:v>
                </c:pt>
                <c:pt idx="2">
                  <c:v>Hombres</c:v>
                </c:pt>
              </c:strCache>
            </c:strRef>
          </c:cat>
          <c:val>
            <c:numRef>
              <c:f>Hoja1!$B$2:$B$4</c:f>
              <c:numCache>
                <c:formatCode>0%</c:formatCode>
                <c:ptCount val="3"/>
                <c:pt idx="0">
                  <c:v>0.51</c:v>
                </c:pt>
                <c:pt idx="1">
                  <c:v>0.64</c:v>
                </c:pt>
                <c:pt idx="2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9E-4C96-9EFC-7FA0A775EBBB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Global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endParaRPr lang="es-A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TOTAL</c:v>
                </c:pt>
                <c:pt idx="1">
                  <c:v>Mujeres</c:v>
                </c:pt>
                <c:pt idx="2">
                  <c:v>Hombres</c:v>
                </c:pt>
              </c:strCache>
            </c:strRef>
          </c:cat>
          <c:val>
            <c:numRef>
              <c:f>Hoja1!$C$2:$C$4</c:f>
              <c:numCache>
                <c:formatCode>0%</c:formatCode>
                <c:ptCount val="3"/>
                <c:pt idx="0">
                  <c:v>0.36</c:v>
                </c:pt>
                <c:pt idx="1">
                  <c:v>0.45</c:v>
                </c:pt>
                <c:pt idx="2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9E-4C96-9EFC-7FA0A775EBB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0818751"/>
        <c:axId val="1280807711"/>
      </c:barChart>
      <c:catAx>
        <c:axId val="1280818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es-AR"/>
          </a:p>
        </c:txPr>
        <c:crossAx val="1280807711"/>
        <c:crosses val="autoZero"/>
        <c:auto val="1"/>
        <c:lblAlgn val="ctr"/>
        <c:lblOffset val="100"/>
        <c:noMultiLvlLbl val="0"/>
      </c:catAx>
      <c:valAx>
        <c:axId val="1280807711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1280818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9222514671621106"/>
          <c:y val="7.4471665782709806E-2"/>
          <c:w val="0.24397979551184132"/>
          <c:h val="6.88218519993320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es-A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j-lt"/>
        </a:defRPr>
      </a:pPr>
      <a:endParaRPr lang="es-A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7</Pages>
  <Words>1306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Constanza Cilley</dc:creator>
  <cp:lastModifiedBy>Pablo Eduardo Haines</cp:lastModifiedBy>
  <cp:revision>11</cp:revision>
  <dcterms:created xsi:type="dcterms:W3CDTF">2026-03-03T15:32:00Z</dcterms:created>
  <dcterms:modified xsi:type="dcterms:W3CDTF">2026-03-09T18:46:00Z</dcterms:modified>
</cp:coreProperties>
</file>