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2.xml"/>
  <Override ContentType="application/vnd.ms-office.chartcolorstyle+xml" PartName="/word/charts/colors1.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drawingml.chartshapes+xml" PartName="/word/drawings/drawing1.xml"/>
  <Override ContentType="application/vnd.ms-office.chartstyle+xml" PartName="/word/charts/style1.xml"/>
  <Override ContentType="application/vnd.ms-office.chartstyle+xml" PartName="/word/charts/style2.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18 de septiembre | Día Internacional de la Igualdad Salarial</w:t>
      </w:r>
    </w:p>
    <w:p w:rsidR="00000000" w:rsidDel="00000000" w:rsidP="00000000" w:rsidRDefault="00000000" w:rsidRPr="00000000" w14:paraId="00000002">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Tendencias en igualdad de género en el trabajo: </w:t>
      </w:r>
    </w:p>
    <w:p w:rsidR="00000000" w:rsidDel="00000000" w:rsidP="00000000" w:rsidRDefault="00000000" w:rsidRPr="00000000" w14:paraId="00000003">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Argentina mejora desde 2019 y supera el promedio global</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18 de septiembre de 2025</w:t>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Voices! y su red internacional WIN (Worldwide Independent Network of Market Research) presentan nuevos hallazgos de su Encuesta Global, que este año recoge las opiniones y creencias de </w:t>
      </w:r>
      <w:r w:rsidDel="00000000" w:rsidR="00000000" w:rsidRPr="00000000">
        <w:rPr>
          <w:rFonts w:ascii="Calibri" w:cs="Calibri" w:eastAsia="Calibri" w:hAnsi="Calibri"/>
          <w:b w:val="1"/>
          <w:rtl w:val="0"/>
        </w:rPr>
        <w:t xml:space="preserve">35.515</w:t>
      </w:r>
      <w:r w:rsidDel="00000000" w:rsidR="00000000" w:rsidRPr="00000000">
        <w:rPr>
          <w:rFonts w:ascii="Calibri" w:cs="Calibri" w:eastAsia="Calibri" w:hAnsi="Calibri"/>
          <w:rtl w:val="0"/>
        </w:rPr>
        <w:t xml:space="preserve"> personas en </w:t>
      </w:r>
      <w:r w:rsidDel="00000000" w:rsidR="00000000" w:rsidRPr="00000000">
        <w:rPr>
          <w:rFonts w:ascii="Calibri" w:cs="Calibri" w:eastAsia="Calibri" w:hAnsi="Calibri"/>
          <w:b w:val="1"/>
          <w:rtl w:val="0"/>
        </w:rPr>
        <w:t xml:space="preserve">40 países</w:t>
      </w:r>
      <w:r w:rsidDel="00000000" w:rsidR="00000000" w:rsidRPr="00000000">
        <w:rPr>
          <w:rFonts w:ascii="Calibri" w:cs="Calibri" w:eastAsia="Calibri" w:hAnsi="Calibri"/>
          <w:rtl w:val="0"/>
        </w:rPr>
        <w:t xml:space="preserve">. Al conmemorarse el </w:t>
      </w:r>
      <w:r w:rsidDel="00000000" w:rsidR="00000000" w:rsidRPr="00000000">
        <w:rPr>
          <w:rFonts w:ascii="Calibri" w:cs="Calibri" w:eastAsia="Calibri" w:hAnsi="Calibri"/>
          <w:b w:val="1"/>
          <w:rtl w:val="0"/>
        </w:rPr>
        <w:t xml:space="preserve">Día Internacional de la Igualdad Salarial</w:t>
      </w:r>
      <w:r w:rsidDel="00000000" w:rsidR="00000000" w:rsidRPr="00000000">
        <w:rPr>
          <w:rFonts w:ascii="Calibri" w:cs="Calibri" w:eastAsia="Calibri" w:hAnsi="Calibri"/>
          <w:rtl w:val="0"/>
        </w:rPr>
        <w:t xml:space="preserve">, los resultados más recientes revelan que la percepción global sobre la igualdad de género en el lugar de trabajo ha mejorado levemente desde 2019. Sin embargo, es importante destacar que esta tendencia positiva está liderada principalmente por los hombres. A lo largo de seis años, WIN ha seguido estas tendencias y ha brindado valiosos aportes sobre cómo están cambiando estas percepciones con el tiempo.</w:t>
      </w:r>
    </w:p>
    <w:p w:rsidR="00000000" w:rsidDel="00000000" w:rsidP="00000000" w:rsidRDefault="00000000" w:rsidRPr="00000000" w14:paraId="0000000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rPr>
      </w:pPr>
      <w:r w:rsidDel="00000000" w:rsidR="00000000" w:rsidRPr="00000000">
        <w:rPr>
          <w:rFonts w:ascii="Calibri" w:cs="Calibri" w:eastAsia="Calibri" w:hAnsi="Calibri"/>
          <w:b w:val="1"/>
          <w:rtl w:val="0"/>
        </w:rPr>
        <w:t xml:space="preserve">Principales hallazgos</w:t>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A nivel mundial, el </w:t>
      </w:r>
      <w:r w:rsidDel="00000000" w:rsidR="00000000" w:rsidRPr="00000000">
        <w:rPr>
          <w:rFonts w:ascii="Calibri" w:cs="Calibri" w:eastAsia="Calibri" w:hAnsi="Calibri"/>
          <w:b w:val="1"/>
          <w:rtl w:val="0"/>
        </w:rPr>
        <w:t xml:space="preserve">59% de las personas cree que la igualdad de género en el lugar de trabajo se ha alcanzado en cierta medida</w:t>
      </w:r>
      <w:r w:rsidDel="00000000" w:rsidR="00000000" w:rsidRPr="00000000">
        <w:rPr>
          <w:rFonts w:ascii="Calibri" w:cs="Calibri" w:eastAsia="Calibri" w:hAnsi="Calibri"/>
          <w:rtl w:val="0"/>
        </w:rPr>
        <w:t xml:space="preserve">. Dicho esto, casi un tercio de la población (31%) sigue sin estar convencida. Esto marca un leve avance respecto a 2019, cuando era el 34% el porcentaje que señalaba que la igualdad en el trabajo no se había alcanzado. </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Este optimismo está impulsado en gran medida por los hombres: </w:t>
      </w:r>
      <w:r w:rsidDel="00000000" w:rsidR="00000000" w:rsidRPr="00000000">
        <w:rPr>
          <w:rFonts w:ascii="Calibri" w:cs="Calibri" w:eastAsia="Calibri" w:hAnsi="Calibri"/>
          <w:b w:val="1"/>
          <w:rtl w:val="0"/>
        </w:rPr>
        <w:t xml:space="preserve">67% de ellos cree que la igualdad ya se alcanzó</w:t>
      </w:r>
      <w:r w:rsidDel="00000000" w:rsidR="00000000" w:rsidRPr="00000000">
        <w:rPr>
          <w:rFonts w:ascii="Calibri" w:cs="Calibri" w:eastAsia="Calibri" w:hAnsi="Calibri"/>
          <w:rtl w:val="0"/>
        </w:rPr>
        <w:t xml:space="preserve">, en comparación con apenas el </w:t>
      </w:r>
      <w:r w:rsidDel="00000000" w:rsidR="00000000" w:rsidRPr="00000000">
        <w:rPr>
          <w:rFonts w:ascii="Calibri" w:cs="Calibri" w:eastAsia="Calibri" w:hAnsi="Calibri"/>
          <w:b w:val="1"/>
          <w:rtl w:val="0"/>
        </w:rPr>
        <w:t xml:space="preserve">64% de las mujeres</w:t>
      </w:r>
      <w:r w:rsidDel="00000000" w:rsidR="00000000" w:rsidRPr="00000000">
        <w:rPr>
          <w:rFonts w:ascii="Calibri" w:cs="Calibri" w:eastAsia="Calibri" w:hAnsi="Calibri"/>
          <w:rtl w:val="0"/>
        </w:rPr>
        <w:t xml:space="preserve">. Esto pone en evidencia una </w:t>
      </w:r>
      <w:r w:rsidDel="00000000" w:rsidR="00000000" w:rsidRPr="00000000">
        <w:rPr>
          <w:rFonts w:ascii="Calibri" w:cs="Calibri" w:eastAsia="Calibri" w:hAnsi="Calibri"/>
          <w:b w:val="1"/>
          <w:rtl w:val="0"/>
        </w:rPr>
        <w:t xml:space="preserve">clara brecha de entendimiento entre géneros</w:t>
      </w:r>
      <w:r w:rsidDel="00000000" w:rsidR="00000000" w:rsidRPr="00000000">
        <w:rPr>
          <w:rFonts w:ascii="Calibri" w:cs="Calibri" w:eastAsia="Calibri" w:hAnsi="Calibri"/>
          <w:rtl w:val="0"/>
        </w:rPr>
        <w:t xml:space="preserve">. Hombres y mujeres perciben el progreso de la igualdad de género de manera diferente, no solo en el ámbito laboral, sino también en la sociedad en general, en la política y en el hogar.</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Al observar los resultados por segmentos sociodemográficos, se ve que a nivel global existe una </w:t>
      </w:r>
      <w:r w:rsidDel="00000000" w:rsidR="00000000" w:rsidRPr="00000000">
        <w:rPr>
          <w:rFonts w:ascii="Calibri" w:cs="Calibri" w:eastAsia="Calibri" w:hAnsi="Calibri"/>
          <w:b w:val="1"/>
          <w:rtl w:val="0"/>
        </w:rPr>
        <w:t xml:space="preserve">correlación negativa entre edad y optimismo</w:t>
      </w:r>
      <w:r w:rsidDel="00000000" w:rsidR="00000000" w:rsidRPr="00000000">
        <w:rPr>
          <w:rFonts w:ascii="Calibri" w:cs="Calibri" w:eastAsia="Calibri" w:hAnsi="Calibri"/>
          <w:rtl w:val="0"/>
        </w:rPr>
        <w:t xml:space="preserve">: los más jóvenes (25-34 años) son más positivos (</w:t>
      </w:r>
      <w:r w:rsidDel="00000000" w:rsidR="00000000" w:rsidRPr="00000000">
        <w:rPr>
          <w:rFonts w:ascii="Calibri" w:cs="Calibri" w:eastAsia="Calibri" w:hAnsi="Calibri"/>
          <w:rtl w:val="0"/>
        </w:rPr>
        <w:t xml:space="preserve">62%</w:t>
      </w:r>
      <w:r w:rsidDel="00000000" w:rsidR="00000000" w:rsidRPr="00000000">
        <w:rPr>
          <w:rFonts w:ascii="Calibri" w:cs="Calibri" w:eastAsia="Calibri" w:hAnsi="Calibri"/>
          <w:rtl w:val="0"/>
        </w:rPr>
        <w:t xml:space="preserve">), frente al 50% de los mayores de 65 años. La </w:t>
      </w:r>
      <w:r w:rsidDel="00000000" w:rsidR="00000000" w:rsidRPr="00000000">
        <w:rPr>
          <w:rFonts w:ascii="Calibri" w:cs="Calibri" w:eastAsia="Calibri" w:hAnsi="Calibri"/>
          <w:b w:val="1"/>
          <w:rtl w:val="0"/>
        </w:rPr>
        <w:t xml:space="preserve">educación</w:t>
      </w:r>
      <w:r w:rsidDel="00000000" w:rsidR="00000000" w:rsidRPr="00000000">
        <w:rPr>
          <w:rFonts w:ascii="Calibri" w:cs="Calibri" w:eastAsia="Calibri" w:hAnsi="Calibri"/>
          <w:rtl w:val="0"/>
        </w:rPr>
        <w:t xml:space="preserve"> también marca diferencias: el 67% de quienes tienen maestría o doctorado creen que existe igualdad de género laboral, frente al 57% de quienes cuentan con educación formal básica. </w:t>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Las diferencias regionales también influyen en estas percepciones. Las personas de la región </w:t>
      </w:r>
      <w:r w:rsidDel="00000000" w:rsidR="00000000" w:rsidRPr="00000000">
        <w:rPr>
          <w:rFonts w:ascii="Calibri" w:cs="Calibri" w:eastAsia="Calibri" w:hAnsi="Calibri"/>
          <w:b w:val="1"/>
          <w:rtl w:val="0"/>
        </w:rPr>
        <w:t xml:space="preserve">APAC son las más optimistas (66%)</w:t>
      </w:r>
      <w:r w:rsidDel="00000000" w:rsidR="00000000" w:rsidRPr="00000000">
        <w:rPr>
          <w:rFonts w:ascii="Calibri" w:cs="Calibri" w:eastAsia="Calibri" w:hAnsi="Calibri"/>
          <w:rtl w:val="0"/>
        </w:rPr>
        <w:t xml:space="preserve">, seguidas por las de </w:t>
      </w:r>
      <w:r w:rsidDel="00000000" w:rsidR="00000000" w:rsidRPr="00000000">
        <w:rPr>
          <w:rFonts w:ascii="Calibri" w:cs="Calibri" w:eastAsia="Calibri" w:hAnsi="Calibri"/>
          <w:b w:val="1"/>
          <w:rtl w:val="0"/>
        </w:rPr>
        <w:t xml:space="preserve">Américas (58%)</w:t>
      </w:r>
      <w:r w:rsidDel="00000000" w:rsidR="00000000" w:rsidRPr="00000000">
        <w:rPr>
          <w:rFonts w:ascii="Calibri" w:cs="Calibri" w:eastAsia="Calibri" w:hAnsi="Calibri"/>
          <w:rtl w:val="0"/>
        </w:rPr>
        <w:t xml:space="preserve"> y </w:t>
      </w:r>
      <w:r w:rsidDel="00000000" w:rsidR="00000000" w:rsidRPr="00000000">
        <w:rPr>
          <w:rFonts w:ascii="Calibri" w:cs="Calibri" w:eastAsia="Calibri" w:hAnsi="Calibri"/>
          <w:b w:val="1"/>
          <w:rtl w:val="0"/>
        </w:rPr>
        <w:t xml:space="preserve">MENA (57%)</w:t>
      </w:r>
      <w:r w:rsidDel="00000000" w:rsidR="00000000" w:rsidRPr="00000000">
        <w:rPr>
          <w:rFonts w:ascii="Calibri" w:cs="Calibri" w:eastAsia="Calibri" w:hAnsi="Calibri"/>
          <w:rtl w:val="0"/>
        </w:rPr>
        <w:t xml:space="preserve">. Los </w:t>
      </w:r>
      <w:r w:rsidDel="00000000" w:rsidR="00000000" w:rsidRPr="00000000">
        <w:rPr>
          <w:rFonts w:ascii="Calibri" w:cs="Calibri" w:eastAsia="Calibri" w:hAnsi="Calibri"/>
          <w:b w:val="1"/>
          <w:rtl w:val="0"/>
        </w:rPr>
        <w:t xml:space="preserve">europeos son los más escépticos</w:t>
      </w:r>
      <w:r w:rsidDel="00000000" w:rsidR="00000000" w:rsidRPr="00000000">
        <w:rPr>
          <w:rFonts w:ascii="Calibri" w:cs="Calibri" w:eastAsia="Calibri" w:hAnsi="Calibri"/>
          <w:rtl w:val="0"/>
        </w:rPr>
        <w:t xml:space="preserve">, con solo un 55% que cree que se ha logrado la igualdad en alguna medida.</w:t>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Los países donde más se percibe dicha igualdad son Tailandia (85%), Vietnam (84%) e India (79%). En cambio, la visión en Japón (36%) e Italia (38%) se encuentra más lejana de la igualdad de género en el ámbito laboral.</w:t>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Con relación a América Latina, en </w:t>
      </w:r>
      <w:r w:rsidDel="00000000" w:rsidR="00000000" w:rsidRPr="00000000">
        <w:rPr>
          <w:rFonts w:ascii="Calibri" w:cs="Calibri" w:eastAsia="Calibri" w:hAnsi="Calibri"/>
          <w:b w:val="1"/>
          <w:rtl w:val="0"/>
        </w:rPr>
        <w:t xml:space="preserve">Paraguay</w:t>
      </w:r>
      <w:r w:rsidDel="00000000" w:rsidR="00000000" w:rsidRPr="00000000">
        <w:rPr>
          <w:rFonts w:ascii="Calibri" w:cs="Calibri" w:eastAsia="Calibri" w:hAnsi="Calibri"/>
          <w:rtl w:val="0"/>
        </w:rPr>
        <w:t xml:space="preserve">, un </w:t>
      </w:r>
      <w:r w:rsidDel="00000000" w:rsidR="00000000" w:rsidRPr="00000000">
        <w:rPr>
          <w:rFonts w:ascii="Calibri" w:cs="Calibri" w:eastAsia="Calibri" w:hAnsi="Calibri"/>
          <w:b w:val="1"/>
          <w:rtl w:val="0"/>
        </w:rPr>
        <w:t xml:space="preserve">74%</w:t>
      </w:r>
      <w:r w:rsidDel="00000000" w:rsidR="00000000" w:rsidRPr="00000000">
        <w:rPr>
          <w:rFonts w:ascii="Calibri" w:cs="Calibri" w:eastAsia="Calibri" w:hAnsi="Calibri"/>
          <w:rtl w:val="0"/>
        </w:rPr>
        <w:t xml:space="preserve"> de las personas cree que la igualdad de género en el lugar de trabajo se ha alcanzado en cierta medida, siendo el país latinoamericano con percepción más igualitaria del mercado laboral incluso superando el nivel global por 15 puntos porcentuales. </w:t>
      </w:r>
      <w:r w:rsidDel="00000000" w:rsidR="00000000" w:rsidRPr="00000000">
        <w:rPr>
          <w:rFonts w:ascii="Calibri" w:cs="Calibri" w:eastAsia="Calibri" w:hAnsi="Calibri"/>
          <w:b w:val="1"/>
          <w:rtl w:val="0"/>
        </w:rPr>
        <w:t xml:space="preserve">México </w:t>
      </w:r>
      <w:r w:rsidDel="00000000" w:rsidR="00000000" w:rsidRPr="00000000">
        <w:rPr>
          <w:rFonts w:ascii="Calibri" w:cs="Calibri" w:eastAsia="Calibri" w:hAnsi="Calibri"/>
          <w:rtl w:val="0"/>
        </w:rPr>
        <w:t xml:space="preserve">(69%)</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b w:val="1"/>
          <w:rtl w:val="0"/>
        </w:rPr>
        <w:t xml:space="preserve"> Argentina </w:t>
      </w:r>
      <w:r w:rsidDel="00000000" w:rsidR="00000000" w:rsidRPr="00000000">
        <w:rPr>
          <w:rFonts w:ascii="Calibri" w:cs="Calibri" w:eastAsia="Calibri" w:hAnsi="Calibri"/>
          <w:rtl w:val="0"/>
        </w:rPr>
        <w:t xml:space="preserve">(65%) también se encuentran por arriba del nivel global a la hora de percibir la igualdad de género en el ámbito laboral. Por el contrario, </w:t>
      </w:r>
      <w:r w:rsidDel="00000000" w:rsidR="00000000" w:rsidRPr="00000000">
        <w:rPr>
          <w:rFonts w:ascii="Calibri" w:cs="Calibri" w:eastAsia="Calibri" w:hAnsi="Calibri"/>
          <w:b w:val="1"/>
          <w:rtl w:val="0"/>
        </w:rPr>
        <w:t xml:space="preserve">Chile </w:t>
      </w:r>
      <w:r w:rsidDel="00000000" w:rsidR="00000000" w:rsidRPr="00000000">
        <w:rPr>
          <w:rFonts w:ascii="Calibri" w:cs="Calibri" w:eastAsia="Calibri" w:hAnsi="Calibri"/>
          <w:rtl w:val="0"/>
        </w:rPr>
        <w:t xml:space="preserve">(56%), </w:t>
      </w:r>
      <w:r w:rsidDel="00000000" w:rsidR="00000000" w:rsidRPr="00000000">
        <w:rPr>
          <w:rFonts w:ascii="Calibri" w:cs="Calibri" w:eastAsia="Calibri" w:hAnsi="Calibri"/>
          <w:b w:val="1"/>
          <w:rtl w:val="0"/>
        </w:rPr>
        <w:t xml:space="preserve">Brasil </w:t>
      </w:r>
      <w:r w:rsidDel="00000000" w:rsidR="00000000" w:rsidRPr="00000000">
        <w:rPr>
          <w:rFonts w:ascii="Calibri" w:cs="Calibri" w:eastAsia="Calibri" w:hAnsi="Calibri"/>
          <w:rtl w:val="0"/>
        </w:rPr>
        <w:t xml:space="preserve">(44%)</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b w:val="1"/>
          <w:rtl w:val="0"/>
        </w:rPr>
        <w:t xml:space="preserve"> Perú </w:t>
      </w:r>
      <w:r w:rsidDel="00000000" w:rsidR="00000000" w:rsidRPr="00000000">
        <w:rPr>
          <w:rFonts w:ascii="Calibri" w:cs="Calibri" w:eastAsia="Calibri" w:hAnsi="Calibri"/>
          <w:rtl w:val="0"/>
        </w:rPr>
        <w:t xml:space="preserve">(51%) se encuentran por debajo de la media mundial.</w:t>
      </w:r>
    </w:p>
    <w:p w:rsidR="00000000" w:rsidDel="00000000" w:rsidP="00000000" w:rsidRDefault="00000000" w:rsidRPr="00000000" w14:paraId="0000000F">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“Hablando de igualdad de género, en cada uno de los siguientes entornos, ¿cuánto diría usted que, en nuestro país, se ha logrado?: En el trabajo”</w:t>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Pr>
        <w:drawing>
          <wp:inline distB="0" distT="0" distL="0" distR="0">
            <wp:extent cx="5848350" cy="7277277"/>
            <wp:docPr id="1446624000"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01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Base: WIN Voices! en Argentina. Población adulta, 35.515 casos</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En </w:t>
      </w:r>
      <w:r w:rsidDel="00000000" w:rsidR="00000000" w:rsidRPr="00000000">
        <w:rPr>
          <w:rFonts w:ascii="Calibri" w:cs="Calibri" w:eastAsia="Calibri" w:hAnsi="Calibri"/>
          <w:b w:val="1"/>
          <w:rtl w:val="0"/>
        </w:rPr>
        <w:t xml:space="preserve">Argentina</w:t>
      </w:r>
      <w:r w:rsidDel="00000000" w:rsidR="00000000" w:rsidRPr="00000000">
        <w:rPr>
          <w:rFonts w:ascii="Calibri" w:cs="Calibri" w:eastAsia="Calibri" w:hAnsi="Calibri"/>
          <w:rtl w:val="0"/>
        </w:rPr>
        <w:t xml:space="preserve">, el </w:t>
      </w:r>
      <w:r w:rsidDel="00000000" w:rsidR="00000000" w:rsidRPr="00000000">
        <w:rPr>
          <w:rFonts w:ascii="Calibri" w:cs="Calibri" w:eastAsia="Calibri" w:hAnsi="Calibri"/>
          <w:b w:val="1"/>
          <w:rtl w:val="0"/>
        </w:rPr>
        <w:t xml:space="preserve">65%</w:t>
      </w:r>
      <w:r w:rsidDel="00000000" w:rsidR="00000000" w:rsidRPr="00000000">
        <w:rPr>
          <w:rFonts w:ascii="Calibri" w:cs="Calibri" w:eastAsia="Calibri" w:hAnsi="Calibri"/>
          <w:rtl w:val="0"/>
        </w:rPr>
        <w:t xml:space="preserve"> de la población cree que la igualdad de género en el trabajo se ha logrado. Esta percepción mejoró algo desde la medición del  2019 (</w:t>
      </w:r>
      <w:r w:rsidDel="00000000" w:rsidR="00000000" w:rsidRPr="00000000">
        <w:rPr>
          <w:rFonts w:ascii="Calibri" w:cs="Calibri" w:eastAsia="Calibri" w:hAnsi="Calibri"/>
          <w:b w:val="1"/>
          <w:rtl w:val="0"/>
        </w:rPr>
        <w:t xml:space="preserve">62%</w:t>
      </w: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Al analizarlo por </w:t>
      </w:r>
      <w:r w:rsidDel="00000000" w:rsidR="00000000" w:rsidRPr="00000000">
        <w:rPr>
          <w:rFonts w:ascii="Calibri" w:cs="Calibri" w:eastAsia="Calibri" w:hAnsi="Calibri"/>
          <w:b w:val="1"/>
          <w:rtl w:val="0"/>
        </w:rPr>
        <w:t xml:space="preserve">segmentos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sociodemográficos</w:t>
      </w:r>
      <w:r w:rsidDel="00000000" w:rsidR="00000000" w:rsidRPr="00000000">
        <w:rPr>
          <w:rFonts w:ascii="Calibri" w:cs="Calibri" w:eastAsia="Calibri" w:hAnsi="Calibri"/>
          <w:rtl w:val="0"/>
        </w:rPr>
        <w:t xml:space="preserve">, se observa que los </w:t>
      </w:r>
      <w:r w:rsidDel="00000000" w:rsidR="00000000" w:rsidRPr="00000000">
        <w:rPr>
          <w:rFonts w:ascii="Calibri" w:cs="Calibri" w:eastAsia="Calibri" w:hAnsi="Calibri"/>
          <w:b w:val="1"/>
          <w:rtl w:val="0"/>
        </w:rPr>
        <w:t xml:space="preserve">hombres</w:t>
      </w:r>
      <w:r w:rsidDel="00000000" w:rsidR="00000000" w:rsidRPr="00000000">
        <w:rPr>
          <w:rFonts w:ascii="Calibri" w:cs="Calibri" w:eastAsia="Calibri" w:hAnsi="Calibri"/>
          <w:rtl w:val="0"/>
        </w:rPr>
        <w:t xml:space="preserve"> son más optimistas (67% vs. 64% mujeres considera que se ha alcanzado igualdad en este ámbito en alguna medida). También aumenta esta visión entre personas con</w:t>
      </w:r>
      <w:r w:rsidDel="00000000" w:rsidR="00000000" w:rsidRPr="00000000">
        <w:rPr>
          <w:rFonts w:ascii="Calibri" w:cs="Calibri" w:eastAsia="Calibri" w:hAnsi="Calibri"/>
          <w:b w:val="1"/>
          <w:rtl w:val="0"/>
        </w:rPr>
        <w:t xml:space="preserve"> mayor nivel educativo</w:t>
      </w:r>
      <w:r w:rsidDel="00000000" w:rsidR="00000000" w:rsidRPr="00000000">
        <w:rPr>
          <w:rFonts w:ascii="Calibri" w:cs="Calibri" w:eastAsia="Calibri" w:hAnsi="Calibri"/>
          <w:rtl w:val="0"/>
        </w:rPr>
        <w:t xml:space="preserve"> (69% vs. Primario 60%) y a </w:t>
      </w:r>
      <w:r w:rsidDel="00000000" w:rsidR="00000000" w:rsidRPr="00000000">
        <w:rPr>
          <w:rFonts w:ascii="Calibri" w:cs="Calibri" w:eastAsia="Calibri" w:hAnsi="Calibri"/>
          <w:b w:val="1"/>
          <w:rtl w:val="0"/>
        </w:rPr>
        <w:t xml:space="preserve">mayor nivel socioeconómico</w:t>
      </w:r>
      <w:r w:rsidDel="00000000" w:rsidR="00000000" w:rsidRPr="00000000">
        <w:rPr>
          <w:rFonts w:ascii="Calibri" w:cs="Calibri" w:eastAsia="Calibri" w:hAnsi="Calibri"/>
          <w:rtl w:val="0"/>
        </w:rPr>
        <w:t xml:space="preserve"> (ABC1 C2C3 69% cada uno vs 60% DE). En cuanto a edad, se puede ver que el grupo de </w:t>
      </w:r>
      <w:r w:rsidDel="00000000" w:rsidR="00000000" w:rsidRPr="00000000">
        <w:rPr>
          <w:rFonts w:ascii="Calibri" w:cs="Calibri" w:eastAsia="Calibri" w:hAnsi="Calibri"/>
          <w:b w:val="1"/>
          <w:rtl w:val="0"/>
        </w:rPr>
        <w:t xml:space="preserve">18-24 años</w:t>
      </w:r>
      <w:r w:rsidDel="00000000" w:rsidR="00000000" w:rsidRPr="00000000">
        <w:rPr>
          <w:rFonts w:ascii="Calibri" w:cs="Calibri" w:eastAsia="Calibri" w:hAnsi="Calibri"/>
          <w:rtl w:val="0"/>
        </w:rPr>
        <w:t xml:space="preserve"> (61%) </w:t>
      </w:r>
      <w:r w:rsidDel="00000000" w:rsidR="00000000" w:rsidRPr="00000000">
        <w:rPr>
          <w:rFonts w:ascii="Calibri" w:cs="Calibri" w:eastAsia="Calibri" w:hAnsi="Calibri"/>
          <w:b w:val="1"/>
          <w:rtl w:val="0"/>
        </w:rPr>
        <w:t xml:space="preserve">es el más crítico</w:t>
      </w:r>
      <w:r w:rsidDel="00000000" w:rsidR="00000000" w:rsidRPr="00000000">
        <w:rPr>
          <w:rFonts w:ascii="Calibri" w:cs="Calibri" w:eastAsia="Calibri" w:hAnsi="Calibri"/>
          <w:rtl w:val="0"/>
        </w:rPr>
        <w:t xml:space="preserve"> a la hora de evaluar la igualdad de género en el trabajo en relación al resto de los grupos etarios, a diferencia de lo que ocurre a nivel global</w:t>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Si analizamos la tendencia entre géneros resulta interesante ver que en Argentina la percepción de igualdad mejora tanto en hombres como mujeres respecto de los años anteriores. La mirada masculina crece levemente (de 64% en 2019 a 67% en 2025) mientras las mujeres aumentan su visión en 8 puntos porcentuales (de 56% en 2019 a 64% en 2025). </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“Hablando de igualdad de género, en cada uno de los siguientes entornos, ¿cuánto diría usted que, en nuestro país, se ha logrado?: En el trabajo”</w:t>
      </w:r>
    </w:p>
    <w:p w:rsidR="00000000" w:rsidDel="00000000" w:rsidP="00000000" w:rsidRDefault="00000000" w:rsidRPr="00000000" w14:paraId="00000018">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SE HA LOGRADO DEFINITIVAMENTE + EN CIERTA MEDIDA</w:t>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Pr>
        <w:drawing>
          <wp:inline distB="0" distT="0" distL="0" distR="0">
            <wp:extent cx="6363158" cy="2171700"/>
            <wp:docPr id="1446624001"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01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Fuente: Voices! en Argentina</w:t>
      </w:r>
    </w:p>
    <w:p w:rsidR="00000000" w:rsidDel="00000000" w:rsidP="00000000" w:rsidRDefault="00000000" w:rsidRPr="00000000" w14:paraId="0000001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rPr>
      </w:pPr>
      <w:r w:rsidDel="00000000" w:rsidR="00000000" w:rsidRPr="00000000">
        <w:rPr>
          <w:rFonts w:ascii="Calibri" w:cs="Calibri" w:eastAsia="Calibri" w:hAnsi="Calibri"/>
          <w:b w:val="1"/>
          <w:rtl w:val="0"/>
        </w:rPr>
        <w:t xml:space="preserve">Por qué la igualdad de género en el trabajo aún requiere avances</w:t>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rtl w:val="0"/>
        </w:rPr>
        <w:t xml:space="preserve">La </w:t>
      </w:r>
      <w:r w:rsidDel="00000000" w:rsidR="00000000" w:rsidRPr="00000000">
        <w:rPr>
          <w:rFonts w:ascii="Calibri" w:cs="Calibri" w:eastAsia="Calibri" w:hAnsi="Calibri"/>
          <w:b w:val="1"/>
          <w:rtl w:val="0"/>
        </w:rPr>
        <w:t xml:space="preserve">Worldviews Survey 2025</w:t>
      </w:r>
      <w:r w:rsidDel="00000000" w:rsidR="00000000" w:rsidRPr="00000000">
        <w:rPr>
          <w:rFonts w:ascii="Calibri" w:cs="Calibri" w:eastAsia="Calibri" w:hAnsi="Calibri"/>
          <w:rtl w:val="0"/>
        </w:rPr>
        <w:t xml:space="preserve"> revela que, si bien la percepción global sobre la igualdad de género en el trabajo mejora, este optimismo está influido por una combinación compleja de factores: regiones, generaciones, grupos socioeconómicos y, sobre todo, el género mismo.</w:t>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rtl w:val="0"/>
        </w:rPr>
        <w:t xml:space="preserve">Para lograr un cambio real, necesitamos abrir la mirada hacia una visión más integral de la igualdad de género que contemple no solo representación o políticas, sino también la </w:t>
      </w:r>
      <w:r w:rsidDel="00000000" w:rsidR="00000000" w:rsidRPr="00000000">
        <w:rPr>
          <w:rFonts w:ascii="Calibri" w:cs="Calibri" w:eastAsia="Calibri" w:hAnsi="Calibri"/>
          <w:b w:val="1"/>
          <w:rtl w:val="0"/>
        </w:rPr>
        <w:t xml:space="preserve">experiencia vivida</w:t>
      </w:r>
      <w:r w:rsidDel="00000000" w:rsidR="00000000" w:rsidRPr="00000000">
        <w:rPr>
          <w:rFonts w:ascii="Calibri" w:cs="Calibri" w:eastAsia="Calibri" w:hAnsi="Calibri"/>
          <w:rtl w:val="0"/>
        </w:rPr>
        <w:t xml:space="preserve">, la </w:t>
      </w:r>
      <w:r w:rsidDel="00000000" w:rsidR="00000000" w:rsidRPr="00000000">
        <w:rPr>
          <w:rFonts w:ascii="Calibri" w:cs="Calibri" w:eastAsia="Calibri" w:hAnsi="Calibri"/>
          <w:b w:val="1"/>
          <w:rtl w:val="0"/>
        </w:rPr>
        <w:t xml:space="preserve">seguridad emocional</w:t>
      </w:r>
      <w:r w:rsidDel="00000000" w:rsidR="00000000" w:rsidRPr="00000000">
        <w:rPr>
          <w:rFonts w:ascii="Calibri" w:cs="Calibri" w:eastAsia="Calibri" w:hAnsi="Calibri"/>
          <w:rtl w:val="0"/>
        </w:rPr>
        <w:t xml:space="preserve"> y las </w:t>
      </w:r>
      <w:r w:rsidDel="00000000" w:rsidR="00000000" w:rsidRPr="00000000">
        <w:rPr>
          <w:rFonts w:ascii="Calibri" w:cs="Calibri" w:eastAsia="Calibri" w:hAnsi="Calibri"/>
          <w:b w:val="1"/>
          <w:rtl w:val="0"/>
        </w:rPr>
        <w:t xml:space="preserve">particularidades culturales</w:t>
      </w:r>
      <w:r w:rsidDel="00000000" w:rsidR="00000000" w:rsidRPr="00000000">
        <w:rPr>
          <w:rFonts w:ascii="Calibri" w:cs="Calibri" w:eastAsia="Calibri" w:hAnsi="Calibri"/>
          <w:rtl w:val="0"/>
        </w:rPr>
        <w:t xml:space="preserve">. El progreso no es lineal ni se ve igual para todos. Reconocer esta complejidad es el primer paso para diseñar lugares de trabajo verdaderamente inclusivos, y no solo estadísticamente igualitarios.</w:t>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Esta disparidad en la percepción corre el riesgo de enmascarar desigualdades persistentes, especialmente si las organizaciones toman este optimismo superficial como algo dado. Para avanzar genuinamente hacia la paridad de género, las empresas deben ir más allá de las cifras y abordar estas diferencias de percepción directamente, asegurando que los avances en </w:t>
      </w:r>
      <w:r w:rsidDel="00000000" w:rsidR="00000000" w:rsidRPr="00000000">
        <w:rPr>
          <w:rFonts w:ascii="Calibri" w:cs="Calibri" w:eastAsia="Calibri" w:hAnsi="Calibri"/>
          <w:b w:val="1"/>
          <w:rtl w:val="0"/>
        </w:rPr>
        <w:t xml:space="preserve">diversidad, equidad e inclusión (DEI)</w:t>
      </w:r>
      <w:r w:rsidDel="00000000" w:rsidR="00000000" w:rsidRPr="00000000">
        <w:rPr>
          <w:rFonts w:ascii="Calibri" w:cs="Calibri" w:eastAsia="Calibri" w:hAnsi="Calibri"/>
          <w:rtl w:val="0"/>
        </w:rPr>
        <w:t xml:space="preserve"> no solo se produzcan, sino que sean realmente experimentados y reconocidos por todas las personas.</w:t>
      </w:r>
    </w:p>
    <w:p w:rsidR="00000000" w:rsidDel="00000000" w:rsidP="00000000" w:rsidRDefault="00000000" w:rsidRPr="00000000" w14:paraId="0000002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rtl w:val="0"/>
        </w:rPr>
        <w:t xml:space="preserve">Constanza Cilley, Directora Ejecutiva de Voices! y analista social a cargo del estudio, comenta: </w:t>
      </w:r>
    </w:p>
    <w:p w:rsidR="00000000" w:rsidDel="00000000" w:rsidP="00000000" w:rsidRDefault="00000000" w:rsidRPr="00000000" w14:paraId="00000024">
      <w:pPr>
        <w:jc w:val="both"/>
        <w:rPr>
          <w:rFonts w:ascii="Calibri" w:cs="Calibri" w:eastAsia="Calibri" w:hAnsi="Calibri"/>
          <w:i w:val="1"/>
        </w:rPr>
      </w:pPr>
      <w:r w:rsidDel="00000000" w:rsidR="00000000" w:rsidRPr="00000000">
        <w:rPr>
          <w:rFonts w:ascii="Calibri" w:cs="Calibri" w:eastAsia="Calibri" w:hAnsi="Calibri"/>
          <w:i w:val="1"/>
          <w:rtl w:val="0"/>
        </w:rPr>
        <w:t xml:space="preserve">“Si bien en la Argentina se detecta una opinión más favorable que a nivel global acerca de la igualdad de género en el ámbito laboral y esta percepción aumentó desde el 2019, merece destacarse que 3/10 jóvenes y personas de NSE son críticas. Este dato invita a reflexionar: más mujeres reconocen mejoras, pero las brechas por edad y nivel socioeconómico evidencian que el camino hacia una igualdad plena todavía está en construcción.”</w:t>
      </w:r>
    </w:p>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rPr>
      </w:pPr>
      <w:r w:rsidDel="00000000" w:rsidR="00000000" w:rsidRPr="00000000">
        <w:rPr>
          <w:rFonts w:ascii="Calibri" w:cs="Calibri" w:eastAsia="Calibri" w:hAnsi="Calibri"/>
          <w:rtl w:val="0"/>
        </w:rPr>
        <w:t xml:space="preserve">Richard Colwell, presidente de WIN International Association, expresó:</w:t>
      </w:r>
    </w:p>
    <w:p w:rsidR="00000000" w:rsidDel="00000000" w:rsidP="00000000" w:rsidRDefault="00000000" w:rsidRPr="00000000" w14:paraId="00000027">
      <w:pPr>
        <w:jc w:val="both"/>
        <w:rPr>
          <w:rFonts w:ascii="Calibri" w:cs="Calibri" w:eastAsia="Calibri" w:hAnsi="Calibri"/>
          <w:i w:val="1"/>
        </w:rPr>
      </w:pPr>
      <w:r w:rsidDel="00000000" w:rsidR="00000000" w:rsidRPr="00000000">
        <w:rPr>
          <w:rFonts w:ascii="Calibri" w:cs="Calibri" w:eastAsia="Calibri" w:hAnsi="Calibri"/>
          <w:i w:val="1"/>
          <w:rtl w:val="0"/>
        </w:rPr>
        <w:t xml:space="preserve">“Estos hallazgos muestran que, si bien el mundo avanza hacia la igualdad de género en el lugar de trabajo, la percepción de este progreso dista mucho de ser universal. Los hombres son más proclives a considerar que la igualdad es una ‘misión cumplida’, pero las experiencias reales de las mujeres suelen contar una historia diferente. Para las organizaciones, WIN espera que esto sea un llamado a mirar más allá de la percepción superficial y asegurarse de que las políticas y prácticas que promueven conduzcan a una igualdad que no solo se mida, sino que sea </w:t>
      </w:r>
      <w:r w:rsidDel="00000000" w:rsidR="00000000" w:rsidRPr="00000000">
        <w:rPr>
          <w:rFonts w:ascii="Calibri" w:cs="Calibri" w:eastAsia="Calibri" w:hAnsi="Calibri"/>
          <w:b w:val="1"/>
          <w:i w:val="1"/>
          <w:rtl w:val="0"/>
        </w:rPr>
        <w:t xml:space="preserve">realmente sentida por todos</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b w:val="1"/>
          <w:rtl w:val="0"/>
        </w:rPr>
        <w:t xml:space="preserve">Acerca de la Encuesta WIN:</w:t>
      </w: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Worldwide Independent Network of Market Research (WIN) es una red global que realiza investigación de Mercado y Encuestas de opinión en todos los continentes – Voices! es integrante de la red realizando los estudios en Argentina.</w:t>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rPr>
      </w:pPr>
      <w:r w:rsidDel="00000000" w:rsidR="00000000" w:rsidRPr="00000000">
        <w:rPr>
          <w:rFonts w:ascii="Calibri" w:cs="Calibri" w:eastAsia="Calibri" w:hAnsi="Calibri"/>
          <w:b w:val="1"/>
          <w:rtl w:val="0"/>
        </w:rPr>
        <w:t xml:space="preserve">Acerca de Voices!</w:t>
      </w: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Fonts w:ascii="Calibri" w:cs="Calibri" w:eastAsia="Calibri" w:hAnsi="Calibri"/>
          <w:rtl w:val="0"/>
        </w:rPr>
        <w:t xml:space="preserve">Voices! Research &amp; Consultancy es una empresa con foco en la investigación social, política y de mercado, con el objetivo de proporcionar consultoría a las organizaciones usando rigurosas metodologías y enfoques innovadores. El equipo de VOICES! tiene una amplia experiencia en estudios nacionales e internacionales y ha participado en las investigaciones con encuestas más importantes del mundo.</w:t>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Voices! es integrante de la red realizando los estudios en Argentina.</w:t>
      </w:r>
    </w:p>
    <w:p w:rsidR="00000000" w:rsidDel="00000000" w:rsidP="00000000" w:rsidRDefault="00000000" w:rsidRPr="00000000" w14:paraId="00000032">
      <w:pPr>
        <w:jc w:val="both"/>
        <w:rPr>
          <w:rFonts w:ascii="Calibri" w:cs="Calibri" w:eastAsia="Calibri" w:hAnsi="Calibri"/>
        </w:rPr>
      </w:pPr>
      <w:hyperlink r:id="rId9">
        <w:r w:rsidDel="00000000" w:rsidR="00000000" w:rsidRPr="00000000">
          <w:rPr>
            <w:rFonts w:ascii="Calibri" w:cs="Calibri" w:eastAsia="Calibri" w:hAnsi="Calibri"/>
            <w:color w:val="467886"/>
            <w:u w:val="single"/>
            <w:rtl w:val="0"/>
          </w:rPr>
          <w:t xml:space="preserve">http://www.voicesconsultancy.com/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b w:val="1"/>
          <w:rtl w:val="0"/>
        </w:rPr>
        <w:t xml:space="preserve">Contacto Voices!:</w:t>
      </w: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rtl w:val="0"/>
        </w:rPr>
        <w:t xml:space="preserve">Constanza Cilley | Directora Ejecutiva VOICES!</w:t>
      </w:r>
    </w:p>
    <w:p w:rsidR="00000000" w:rsidDel="00000000" w:rsidP="00000000" w:rsidRDefault="00000000" w:rsidRPr="00000000" w14:paraId="00000036">
      <w:pPr>
        <w:jc w:val="both"/>
        <w:rPr>
          <w:rFonts w:ascii="Calibri" w:cs="Calibri" w:eastAsia="Calibri" w:hAnsi="Calibri"/>
        </w:rPr>
      </w:pPr>
      <w:hyperlink r:id="rId10">
        <w:r w:rsidDel="00000000" w:rsidR="00000000" w:rsidRPr="00000000">
          <w:rPr>
            <w:rFonts w:ascii="Calibri" w:cs="Calibri" w:eastAsia="Calibri" w:hAnsi="Calibri"/>
            <w:color w:val="467886"/>
            <w:u w:val="single"/>
            <w:rtl w:val="0"/>
          </w:rPr>
          <w:t xml:space="preserve">constanzacilley@voicesconsultancy.com</w:t>
        </w:r>
      </w:hyperlink>
      <w:r w:rsidDel="00000000" w:rsidR="00000000" w:rsidRPr="00000000">
        <w:rPr>
          <w:rtl w:val="0"/>
        </w:rPr>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rtl w:val="0"/>
        </w:rPr>
        <w:t xml:space="preserve">Cel: 1565724467</w:t>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sectPr>
      <w:headerReference r:id="rId11"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1086129" cy="789912"/>
          <wp:effectExtent b="0" l="0" r="0" t="0"/>
          <wp:docPr descr="Logotipo, nombre de la empresa&#10;&#10;El contenido generado por IA puede ser incorrecto." id="1446624002" name="image1.png"/>
          <a:graphic>
            <a:graphicData uri="http://schemas.openxmlformats.org/drawingml/2006/picture">
              <pic:pic>
                <pic:nvPicPr>
                  <pic:cNvPr descr="Logotipo, nombre de la empresa&#10;&#10;El contenido generado por IA puede ser incorrecto." id="0" name="image1.png"/>
                  <pic:cNvPicPr preferRelativeResize="0"/>
                </pic:nvPicPr>
                <pic:blipFill>
                  <a:blip r:embed="rId1"/>
                  <a:srcRect b="0" l="0" r="0" t="0"/>
                  <a:stretch>
                    <a:fillRect/>
                  </a:stretch>
                </pic:blipFill>
                <pic:spPr>
                  <a:xfrm>
                    <a:off x="0" y="0"/>
                    <a:ext cx="1086129" cy="789912"/>
                  </a:xfrm>
                  <a:prstGeom prst="rect"/>
                  <a:ln/>
                </pic:spPr>
              </pic:pic>
            </a:graphicData>
          </a:graphic>
        </wp:inline>
      </w:drawing>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tab/>
      <w:t xml:space="preserve">                                             </w:t>
      <w:tab/>
      <w:t xml:space="preserve">                               </w:t>
    </w: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1828800" cy="600075"/>
          <wp:effectExtent b="0" l="0" r="0" t="0"/>
          <wp:docPr descr="Imagen que contiene Logotipo&#10;&#10;El contenido generado por IA puede ser incorrecto." id="1446624003" name="image2.png"/>
          <a:graphic>
            <a:graphicData uri="http://schemas.openxmlformats.org/drawingml/2006/picture">
              <pic:pic>
                <pic:nvPicPr>
                  <pic:cNvPr descr="Imagen que contiene Logotipo&#10;&#10;El contenido generado por IA puede ser incorrecto." id="0" name="image2.png"/>
                  <pic:cNvPicPr preferRelativeResize="0"/>
                </pic:nvPicPr>
                <pic:blipFill>
                  <a:blip r:embed="rId2"/>
                  <a:srcRect b="0" l="0" r="0" t="0"/>
                  <a:stretch>
                    <a:fillRect/>
                  </a:stretch>
                </pic:blipFill>
                <pic:spPr>
                  <a:xfrm>
                    <a:off x="0" y="0"/>
                    <a:ext cx="1828800" cy="600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AR"/>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9A6255"/>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9A6255"/>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9A6255"/>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9A6255"/>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9A6255"/>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9A6255"/>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9A6255"/>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9A6255"/>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9A6255"/>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9A6255"/>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9A6255"/>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9A6255"/>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9A6255"/>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9A6255"/>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9A6255"/>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9A6255"/>
    <w:rPr>
      <w:i w:val="1"/>
      <w:iCs w:val="1"/>
      <w:color w:val="404040" w:themeColor="text1" w:themeTint="0000BF"/>
    </w:rPr>
  </w:style>
  <w:style w:type="paragraph" w:styleId="Prrafodelista">
    <w:name w:val="List Paragraph"/>
    <w:basedOn w:val="Normal"/>
    <w:uiPriority w:val="34"/>
    <w:qFormat w:val="1"/>
    <w:rsid w:val="009A6255"/>
    <w:pPr>
      <w:ind w:left="720"/>
      <w:contextualSpacing w:val="1"/>
    </w:pPr>
  </w:style>
  <w:style w:type="character" w:styleId="nfasisintenso">
    <w:name w:val="Intense Emphasis"/>
    <w:basedOn w:val="Fuentedeprrafopredeter"/>
    <w:uiPriority w:val="21"/>
    <w:qFormat w:val="1"/>
    <w:rsid w:val="009A6255"/>
    <w:rPr>
      <w:i w:val="1"/>
      <w:iCs w:val="1"/>
      <w:color w:val="0f4761" w:themeColor="accent1" w:themeShade="0000BF"/>
    </w:rPr>
  </w:style>
  <w:style w:type="paragraph" w:styleId="Citadestacada">
    <w:name w:val="Intense Quote"/>
    <w:basedOn w:val="Normal"/>
    <w:next w:val="Normal"/>
    <w:link w:val="CitadestacadaCar"/>
    <w:uiPriority w:val="30"/>
    <w:qFormat w:val="1"/>
    <w:rsid w:val="009A625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9A6255"/>
    <w:rPr>
      <w:i w:val="1"/>
      <w:iCs w:val="1"/>
      <w:color w:val="0f4761" w:themeColor="accent1" w:themeShade="0000BF"/>
    </w:rPr>
  </w:style>
  <w:style w:type="character" w:styleId="Referenciaintensa">
    <w:name w:val="Intense Reference"/>
    <w:basedOn w:val="Fuentedeprrafopredeter"/>
    <w:uiPriority w:val="32"/>
    <w:qFormat w:val="1"/>
    <w:rsid w:val="009A6255"/>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9A6255"/>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A6255"/>
  </w:style>
  <w:style w:type="paragraph" w:styleId="Piedepgina">
    <w:name w:val="footer"/>
    <w:basedOn w:val="Normal"/>
    <w:link w:val="PiedepginaCar"/>
    <w:uiPriority w:val="99"/>
    <w:unhideWhenUsed w:val="1"/>
    <w:rsid w:val="009A6255"/>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A6255"/>
  </w:style>
  <w:style w:type="character" w:styleId="Refdecomentario">
    <w:name w:val="annotation reference"/>
    <w:basedOn w:val="Fuentedeprrafopredeter"/>
    <w:uiPriority w:val="99"/>
    <w:semiHidden w:val="1"/>
    <w:unhideWhenUsed w:val="1"/>
    <w:rsid w:val="009A6255"/>
    <w:rPr>
      <w:sz w:val="16"/>
      <w:szCs w:val="16"/>
    </w:rPr>
  </w:style>
  <w:style w:type="paragraph" w:styleId="Textocomentario">
    <w:name w:val="annotation text"/>
    <w:basedOn w:val="Normal"/>
    <w:link w:val="TextocomentarioCar"/>
    <w:uiPriority w:val="99"/>
    <w:unhideWhenUsed w:val="1"/>
    <w:rsid w:val="009A6255"/>
    <w:pPr>
      <w:spacing w:line="240" w:lineRule="auto"/>
    </w:pPr>
    <w:rPr>
      <w:sz w:val="20"/>
      <w:szCs w:val="20"/>
    </w:rPr>
  </w:style>
  <w:style w:type="character" w:styleId="TextocomentarioCar" w:customStyle="1">
    <w:name w:val="Texto comentario Car"/>
    <w:basedOn w:val="Fuentedeprrafopredeter"/>
    <w:link w:val="Textocomentario"/>
    <w:uiPriority w:val="99"/>
    <w:rsid w:val="009A6255"/>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9A6255"/>
    <w:rPr>
      <w:b w:val="1"/>
      <w:bCs w:val="1"/>
    </w:rPr>
  </w:style>
  <w:style w:type="character" w:styleId="AsuntodelcomentarioCar" w:customStyle="1">
    <w:name w:val="Asunto del comentario Car"/>
    <w:basedOn w:val="TextocomentarioCar"/>
    <w:link w:val="Asuntodelcomentario"/>
    <w:uiPriority w:val="99"/>
    <w:semiHidden w:val="1"/>
    <w:rsid w:val="009A6255"/>
    <w:rPr>
      <w:b w:val="1"/>
      <w:bCs w:val="1"/>
      <w:sz w:val="20"/>
      <w:szCs w:val="20"/>
    </w:rPr>
  </w:style>
  <w:style w:type="character" w:styleId="Hipervnculo">
    <w:name w:val="Hyperlink"/>
    <w:basedOn w:val="Fuentedeprrafopredeter"/>
    <w:uiPriority w:val="99"/>
    <w:unhideWhenUsed w:val="1"/>
    <w:rsid w:val="000E40A4"/>
    <w:rPr>
      <w:color w:val="467886" w:themeColor="hyperlink"/>
      <w:u w:val="single"/>
    </w:rPr>
  </w:style>
  <w:style w:type="character" w:styleId="Mencinsinresolver">
    <w:name w:val="Unresolved Mention"/>
    <w:basedOn w:val="Fuentedeprrafopredeter"/>
    <w:uiPriority w:val="99"/>
    <w:semiHidden w:val="1"/>
    <w:unhideWhenUsed w:val="1"/>
    <w:rsid w:val="000E40A4"/>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onstanzacilley@voicesconsultancy.com" TargetMode="External"/><Relationship Id="rId9" Type="http://schemas.openxmlformats.org/officeDocument/2006/relationships/hyperlink" Target="http://www.voicesconsultancy.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 Id="rId8" Type="http://schemas.openxmlformats.org/officeDocument/2006/relationships/chart" Target="charts/chart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Sheet1.xlsx"/><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Microsoft_Excel_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Hoja1!$B$1</c:f>
              <c:strCache>
                <c:ptCount val="1"/>
                <c:pt idx="0">
                  <c:v>Definitivamente logrado + logrado hasta cierto punto </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Hoja1!$A$2:$A$42</c:f>
              <c:strCache>
                <c:ptCount val="41"/>
                <c:pt idx="0">
                  <c:v>Japón</c:v>
                </c:pt>
                <c:pt idx="1">
                  <c:v>Italia</c:v>
                </c:pt>
                <c:pt idx="2">
                  <c:v>Francia</c:v>
                </c:pt>
                <c:pt idx="3">
                  <c:v>Países Bajos</c:v>
                </c:pt>
                <c:pt idx="4">
                  <c:v>Eslovaquia</c:v>
                </c:pt>
                <c:pt idx="5">
                  <c:v>Brasil</c:v>
                </c:pt>
                <c:pt idx="6">
                  <c:v>Turquía</c:v>
                </c:pt>
                <c:pt idx="7">
                  <c:v>Croacia</c:v>
                </c:pt>
                <c:pt idx="8">
                  <c:v>Costa de Marfil</c:v>
                </c:pt>
                <c:pt idx="9">
                  <c:v>Perú</c:v>
                </c:pt>
                <c:pt idx="10">
                  <c:v>Polonia</c:v>
                </c:pt>
                <c:pt idx="11">
                  <c:v>Estados Unidos</c:v>
                </c:pt>
                <c:pt idx="12">
                  <c:v>Chile</c:v>
                </c:pt>
                <c:pt idx="13">
                  <c:v>Alemania</c:v>
                </c:pt>
                <c:pt idx="14">
                  <c:v>Serbia</c:v>
                </c:pt>
                <c:pt idx="15">
                  <c:v>Ecuador</c:v>
                </c:pt>
                <c:pt idx="16">
                  <c:v>Reino Unido</c:v>
                </c:pt>
                <c:pt idx="17">
                  <c:v>Grecia</c:v>
                </c:pt>
                <c:pt idx="18">
                  <c:v>Indonesia</c:v>
                </c:pt>
                <c:pt idx="19">
                  <c:v>Eslovenia</c:v>
                </c:pt>
                <c:pt idx="20">
                  <c:v>Australia</c:v>
                </c:pt>
                <c:pt idx="21">
                  <c:v>Canadá</c:v>
                </c:pt>
                <c:pt idx="22">
                  <c:v>Irlanda</c:v>
                </c:pt>
                <c:pt idx="23">
                  <c:v>Finlandia</c:v>
                </c:pt>
                <c:pt idx="24">
                  <c:v>Malasia</c:v>
                </c:pt>
                <c:pt idx="25">
                  <c:v>Suecia</c:v>
                </c:pt>
                <c:pt idx="26">
                  <c:v>Argentina</c:v>
                </c:pt>
                <c:pt idx="27">
                  <c:v>España</c:v>
                </c:pt>
                <c:pt idx="28">
                  <c:v>Corea del Sur</c:v>
                </c:pt>
                <c:pt idx="29">
                  <c:v>Hong Kong</c:v>
                </c:pt>
                <c:pt idx="30">
                  <c:v>Pakistán</c:v>
                </c:pt>
                <c:pt idx="31">
                  <c:v>Noruega</c:v>
                </c:pt>
                <c:pt idx="32">
                  <c:v>China</c:v>
                </c:pt>
                <c:pt idx="33">
                  <c:v>México</c:v>
                </c:pt>
                <c:pt idx="34">
                  <c:v>Filipinas</c:v>
                </c:pt>
                <c:pt idx="35">
                  <c:v>Marruecoos</c:v>
                </c:pt>
                <c:pt idx="36">
                  <c:v>Paraguay</c:v>
                </c:pt>
                <c:pt idx="37">
                  <c:v>India</c:v>
                </c:pt>
                <c:pt idx="38">
                  <c:v>Vietnam</c:v>
                </c:pt>
                <c:pt idx="39">
                  <c:v>Tailandia</c:v>
                </c:pt>
                <c:pt idx="40">
                  <c:v>Nivel global</c:v>
                </c:pt>
              </c:strCache>
            </c:strRef>
          </c:cat>
          <c:val>
            <c:numRef>
              <c:f>Hoja1!$B$2:$B$42</c:f>
              <c:numCache>
                <c:formatCode>0%</c:formatCode>
                <c:ptCount val="41"/>
                <c:pt idx="0">
                  <c:v>0.36</c:v>
                </c:pt>
                <c:pt idx="1">
                  <c:v>0.38</c:v>
                </c:pt>
                <c:pt idx="2">
                  <c:v>0.42</c:v>
                </c:pt>
                <c:pt idx="3">
                  <c:v>0.43</c:v>
                </c:pt>
                <c:pt idx="4">
                  <c:v>0.43</c:v>
                </c:pt>
                <c:pt idx="5">
                  <c:v>0.44</c:v>
                </c:pt>
                <c:pt idx="6">
                  <c:v>0.46</c:v>
                </c:pt>
                <c:pt idx="7">
                  <c:v>0.47</c:v>
                </c:pt>
                <c:pt idx="8">
                  <c:v>0.49</c:v>
                </c:pt>
                <c:pt idx="9">
                  <c:v>0.51</c:v>
                </c:pt>
                <c:pt idx="10">
                  <c:v>0.52</c:v>
                </c:pt>
                <c:pt idx="11">
                  <c:v>0.53</c:v>
                </c:pt>
                <c:pt idx="12">
                  <c:v>0.56000000000000005</c:v>
                </c:pt>
                <c:pt idx="13">
                  <c:v>0.56000000000000005</c:v>
                </c:pt>
                <c:pt idx="14">
                  <c:v>0.56000000000000005</c:v>
                </c:pt>
                <c:pt idx="15">
                  <c:v>0.57999999999999996</c:v>
                </c:pt>
                <c:pt idx="16">
                  <c:v>0.57999999999999996</c:v>
                </c:pt>
                <c:pt idx="17">
                  <c:v>0.57999999999999996</c:v>
                </c:pt>
                <c:pt idx="18">
                  <c:v>0.6</c:v>
                </c:pt>
                <c:pt idx="19">
                  <c:v>0.6</c:v>
                </c:pt>
                <c:pt idx="20">
                  <c:v>0.61</c:v>
                </c:pt>
                <c:pt idx="21">
                  <c:v>0.61</c:v>
                </c:pt>
                <c:pt idx="22">
                  <c:v>0.61</c:v>
                </c:pt>
                <c:pt idx="23">
                  <c:v>0.62</c:v>
                </c:pt>
                <c:pt idx="24">
                  <c:v>0.62</c:v>
                </c:pt>
                <c:pt idx="25">
                  <c:v>0.63</c:v>
                </c:pt>
                <c:pt idx="26">
                  <c:v>0.65</c:v>
                </c:pt>
                <c:pt idx="27">
                  <c:v>0.65</c:v>
                </c:pt>
                <c:pt idx="28">
                  <c:v>0.65</c:v>
                </c:pt>
                <c:pt idx="29">
                  <c:v>0.66</c:v>
                </c:pt>
                <c:pt idx="30">
                  <c:v>0.67</c:v>
                </c:pt>
                <c:pt idx="31">
                  <c:v>0.68</c:v>
                </c:pt>
                <c:pt idx="32">
                  <c:v>0.69</c:v>
                </c:pt>
                <c:pt idx="33">
                  <c:v>0.69</c:v>
                </c:pt>
                <c:pt idx="34">
                  <c:v>0.7</c:v>
                </c:pt>
                <c:pt idx="35">
                  <c:v>0.74</c:v>
                </c:pt>
                <c:pt idx="36">
                  <c:v>0.74</c:v>
                </c:pt>
                <c:pt idx="37">
                  <c:v>0.79</c:v>
                </c:pt>
                <c:pt idx="38">
                  <c:v>0.84</c:v>
                </c:pt>
                <c:pt idx="39">
                  <c:v>0.85</c:v>
                </c:pt>
                <c:pt idx="40">
                  <c:v>0.59</c:v>
                </c:pt>
              </c:numCache>
            </c:numRef>
          </c:val>
          <c:extLst>
            <c:ext xmlns:c16="http://schemas.microsoft.com/office/drawing/2014/chart" uri="{C3380CC4-5D6E-409C-BE32-E72D297353CC}">
              <c16:uniqueId val="{00000000-A08D-4FC1-B8B8-71B51148F6ED}"/>
            </c:ext>
          </c:extLst>
        </c:ser>
        <c:ser>
          <c:idx val="1"/>
          <c:order val="1"/>
          <c:tx>
            <c:strRef>
              <c:f>Hoja1!$C$1</c:f>
              <c:strCache>
                <c:ptCount val="1"/>
                <c:pt idx="0">
                  <c:v>No realmente logrado + nada logrado</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Hoja1!$A$2:$A$42</c:f>
              <c:strCache>
                <c:ptCount val="41"/>
                <c:pt idx="0">
                  <c:v>Japón</c:v>
                </c:pt>
                <c:pt idx="1">
                  <c:v>Italia</c:v>
                </c:pt>
                <c:pt idx="2">
                  <c:v>Francia</c:v>
                </c:pt>
                <c:pt idx="3">
                  <c:v>Países Bajos</c:v>
                </c:pt>
                <c:pt idx="4">
                  <c:v>Eslovaquia</c:v>
                </c:pt>
                <c:pt idx="5">
                  <c:v>Brasil</c:v>
                </c:pt>
                <c:pt idx="6">
                  <c:v>Turquía</c:v>
                </c:pt>
                <c:pt idx="7">
                  <c:v>Croacia</c:v>
                </c:pt>
                <c:pt idx="8">
                  <c:v>Costa de Marfil</c:v>
                </c:pt>
                <c:pt idx="9">
                  <c:v>Perú</c:v>
                </c:pt>
                <c:pt idx="10">
                  <c:v>Polonia</c:v>
                </c:pt>
                <c:pt idx="11">
                  <c:v>Estados Unidos</c:v>
                </c:pt>
                <c:pt idx="12">
                  <c:v>Chile</c:v>
                </c:pt>
                <c:pt idx="13">
                  <c:v>Alemania</c:v>
                </c:pt>
                <c:pt idx="14">
                  <c:v>Serbia</c:v>
                </c:pt>
                <c:pt idx="15">
                  <c:v>Ecuador</c:v>
                </c:pt>
                <c:pt idx="16">
                  <c:v>Reino Unido</c:v>
                </c:pt>
                <c:pt idx="17">
                  <c:v>Grecia</c:v>
                </c:pt>
                <c:pt idx="18">
                  <c:v>Indonesia</c:v>
                </c:pt>
                <c:pt idx="19">
                  <c:v>Eslovenia</c:v>
                </c:pt>
                <c:pt idx="20">
                  <c:v>Australia</c:v>
                </c:pt>
                <c:pt idx="21">
                  <c:v>Canadá</c:v>
                </c:pt>
                <c:pt idx="22">
                  <c:v>Irlanda</c:v>
                </c:pt>
                <c:pt idx="23">
                  <c:v>Finlandia</c:v>
                </c:pt>
                <c:pt idx="24">
                  <c:v>Malasia</c:v>
                </c:pt>
                <c:pt idx="25">
                  <c:v>Suecia</c:v>
                </c:pt>
                <c:pt idx="26">
                  <c:v>Argentina</c:v>
                </c:pt>
                <c:pt idx="27">
                  <c:v>España</c:v>
                </c:pt>
                <c:pt idx="28">
                  <c:v>Corea del Sur</c:v>
                </c:pt>
                <c:pt idx="29">
                  <c:v>Hong Kong</c:v>
                </c:pt>
                <c:pt idx="30">
                  <c:v>Pakistán</c:v>
                </c:pt>
                <c:pt idx="31">
                  <c:v>Noruega</c:v>
                </c:pt>
                <c:pt idx="32">
                  <c:v>China</c:v>
                </c:pt>
                <c:pt idx="33">
                  <c:v>México</c:v>
                </c:pt>
                <c:pt idx="34">
                  <c:v>Filipinas</c:v>
                </c:pt>
                <c:pt idx="35">
                  <c:v>Marruecoos</c:v>
                </c:pt>
                <c:pt idx="36">
                  <c:v>Paraguay</c:v>
                </c:pt>
                <c:pt idx="37">
                  <c:v>India</c:v>
                </c:pt>
                <c:pt idx="38">
                  <c:v>Vietnam</c:v>
                </c:pt>
                <c:pt idx="39">
                  <c:v>Tailandia</c:v>
                </c:pt>
                <c:pt idx="40">
                  <c:v>Nivel global</c:v>
                </c:pt>
              </c:strCache>
            </c:strRef>
          </c:cat>
          <c:val>
            <c:numRef>
              <c:f>Hoja1!$C$2:$C$42</c:f>
              <c:numCache>
                <c:formatCode>0%</c:formatCode>
                <c:ptCount val="41"/>
                <c:pt idx="0">
                  <c:v>0.4</c:v>
                </c:pt>
                <c:pt idx="1">
                  <c:v>0.57999999999999996</c:v>
                </c:pt>
                <c:pt idx="2">
                  <c:v>0.41</c:v>
                </c:pt>
                <c:pt idx="3">
                  <c:v>0.23</c:v>
                </c:pt>
                <c:pt idx="4">
                  <c:v>0.35</c:v>
                </c:pt>
                <c:pt idx="5">
                  <c:v>0.37</c:v>
                </c:pt>
                <c:pt idx="6">
                  <c:v>0.48</c:v>
                </c:pt>
                <c:pt idx="7">
                  <c:v>0.48</c:v>
                </c:pt>
                <c:pt idx="8">
                  <c:v>0.43</c:v>
                </c:pt>
                <c:pt idx="9">
                  <c:v>0.42</c:v>
                </c:pt>
                <c:pt idx="10">
                  <c:v>0.26</c:v>
                </c:pt>
                <c:pt idx="11">
                  <c:v>0.24</c:v>
                </c:pt>
                <c:pt idx="12">
                  <c:v>0.35</c:v>
                </c:pt>
                <c:pt idx="13">
                  <c:v>0.34</c:v>
                </c:pt>
                <c:pt idx="14">
                  <c:v>0.4</c:v>
                </c:pt>
                <c:pt idx="15">
                  <c:v>0.34</c:v>
                </c:pt>
                <c:pt idx="16">
                  <c:v>0.25</c:v>
                </c:pt>
                <c:pt idx="17">
                  <c:v>0.41</c:v>
                </c:pt>
                <c:pt idx="18">
                  <c:v>0.34</c:v>
                </c:pt>
                <c:pt idx="19">
                  <c:v>0.33</c:v>
                </c:pt>
                <c:pt idx="20">
                  <c:v>0.21</c:v>
                </c:pt>
                <c:pt idx="21">
                  <c:v>0.24</c:v>
                </c:pt>
                <c:pt idx="22">
                  <c:v>0.25</c:v>
                </c:pt>
                <c:pt idx="23">
                  <c:v>0.35</c:v>
                </c:pt>
                <c:pt idx="24">
                  <c:v>0.31</c:v>
                </c:pt>
                <c:pt idx="25">
                  <c:v>0.27</c:v>
                </c:pt>
                <c:pt idx="26">
                  <c:v>0.26</c:v>
                </c:pt>
                <c:pt idx="27">
                  <c:v>0.32</c:v>
                </c:pt>
                <c:pt idx="28">
                  <c:v>0.31</c:v>
                </c:pt>
                <c:pt idx="29">
                  <c:v>0.32</c:v>
                </c:pt>
                <c:pt idx="30">
                  <c:v>0.27</c:v>
                </c:pt>
                <c:pt idx="31">
                  <c:v>0.25</c:v>
                </c:pt>
                <c:pt idx="32">
                  <c:v>0.31</c:v>
                </c:pt>
                <c:pt idx="33">
                  <c:v>0.28999999999999998</c:v>
                </c:pt>
                <c:pt idx="34">
                  <c:v>0.28000000000000003</c:v>
                </c:pt>
                <c:pt idx="35">
                  <c:v>0.21</c:v>
                </c:pt>
                <c:pt idx="36">
                  <c:v>0.26</c:v>
                </c:pt>
                <c:pt idx="37">
                  <c:v>0.18</c:v>
                </c:pt>
                <c:pt idx="38">
                  <c:v>0.12</c:v>
                </c:pt>
                <c:pt idx="39">
                  <c:v>0.13</c:v>
                </c:pt>
                <c:pt idx="40">
                  <c:v>0.31</c:v>
                </c:pt>
              </c:numCache>
            </c:numRef>
          </c:val>
          <c:extLst>
            <c:ext xmlns:c16="http://schemas.microsoft.com/office/drawing/2014/chart" uri="{C3380CC4-5D6E-409C-BE32-E72D297353CC}">
              <c16:uniqueId val="{00000001-A08D-4FC1-B8B8-71B51148F6ED}"/>
            </c:ext>
          </c:extLst>
        </c:ser>
        <c:ser>
          <c:idx val="2"/>
          <c:order val="2"/>
          <c:tx>
            <c:strRef>
              <c:f>Hoja1!$D$1</c:f>
              <c:strCache>
                <c:ptCount val="1"/>
                <c:pt idx="0">
                  <c:v>No sabe</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Hoja1!$A$2:$A$42</c:f>
              <c:strCache>
                <c:ptCount val="41"/>
                <c:pt idx="0">
                  <c:v>Japón</c:v>
                </c:pt>
                <c:pt idx="1">
                  <c:v>Italia</c:v>
                </c:pt>
                <c:pt idx="2">
                  <c:v>Francia</c:v>
                </c:pt>
                <c:pt idx="3">
                  <c:v>Países Bajos</c:v>
                </c:pt>
                <c:pt idx="4">
                  <c:v>Eslovaquia</c:v>
                </c:pt>
                <c:pt idx="5">
                  <c:v>Brasil</c:v>
                </c:pt>
                <c:pt idx="6">
                  <c:v>Turquía</c:v>
                </c:pt>
                <c:pt idx="7">
                  <c:v>Croacia</c:v>
                </c:pt>
                <c:pt idx="8">
                  <c:v>Costa de Marfil</c:v>
                </c:pt>
                <c:pt idx="9">
                  <c:v>Perú</c:v>
                </c:pt>
                <c:pt idx="10">
                  <c:v>Polonia</c:v>
                </c:pt>
                <c:pt idx="11">
                  <c:v>Estados Unidos</c:v>
                </c:pt>
                <c:pt idx="12">
                  <c:v>Chile</c:v>
                </c:pt>
                <c:pt idx="13">
                  <c:v>Alemania</c:v>
                </c:pt>
                <c:pt idx="14">
                  <c:v>Serbia</c:v>
                </c:pt>
                <c:pt idx="15">
                  <c:v>Ecuador</c:v>
                </c:pt>
                <c:pt idx="16">
                  <c:v>Reino Unido</c:v>
                </c:pt>
                <c:pt idx="17">
                  <c:v>Grecia</c:v>
                </c:pt>
                <c:pt idx="18">
                  <c:v>Indonesia</c:v>
                </c:pt>
                <c:pt idx="19">
                  <c:v>Eslovenia</c:v>
                </c:pt>
                <c:pt idx="20">
                  <c:v>Australia</c:v>
                </c:pt>
                <c:pt idx="21">
                  <c:v>Canadá</c:v>
                </c:pt>
                <c:pt idx="22">
                  <c:v>Irlanda</c:v>
                </c:pt>
                <c:pt idx="23">
                  <c:v>Finlandia</c:v>
                </c:pt>
                <c:pt idx="24">
                  <c:v>Malasia</c:v>
                </c:pt>
                <c:pt idx="25">
                  <c:v>Suecia</c:v>
                </c:pt>
                <c:pt idx="26">
                  <c:v>Argentina</c:v>
                </c:pt>
                <c:pt idx="27">
                  <c:v>España</c:v>
                </c:pt>
                <c:pt idx="28">
                  <c:v>Corea del Sur</c:v>
                </c:pt>
                <c:pt idx="29">
                  <c:v>Hong Kong</c:v>
                </c:pt>
                <c:pt idx="30">
                  <c:v>Pakistán</c:v>
                </c:pt>
                <c:pt idx="31">
                  <c:v>Noruega</c:v>
                </c:pt>
                <c:pt idx="32">
                  <c:v>China</c:v>
                </c:pt>
                <c:pt idx="33">
                  <c:v>México</c:v>
                </c:pt>
                <c:pt idx="34">
                  <c:v>Filipinas</c:v>
                </c:pt>
                <c:pt idx="35">
                  <c:v>Marruecoos</c:v>
                </c:pt>
                <c:pt idx="36">
                  <c:v>Paraguay</c:v>
                </c:pt>
                <c:pt idx="37">
                  <c:v>India</c:v>
                </c:pt>
                <c:pt idx="38">
                  <c:v>Vietnam</c:v>
                </c:pt>
                <c:pt idx="39">
                  <c:v>Tailandia</c:v>
                </c:pt>
                <c:pt idx="40">
                  <c:v>Nivel global</c:v>
                </c:pt>
              </c:strCache>
            </c:strRef>
          </c:cat>
          <c:val>
            <c:numRef>
              <c:f>Hoja1!$D$2:$D$42</c:f>
              <c:numCache>
                <c:formatCode>0%</c:formatCode>
                <c:ptCount val="41"/>
                <c:pt idx="0">
                  <c:v>0.24</c:v>
                </c:pt>
                <c:pt idx="1">
                  <c:v>0.04</c:v>
                </c:pt>
                <c:pt idx="2">
                  <c:v>0.16</c:v>
                </c:pt>
                <c:pt idx="3">
                  <c:v>0.35</c:v>
                </c:pt>
                <c:pt idx="4">
                  <c:v>0.22</c:v>
                </c:pt>
                <c:pt idx="5">
                  <c:v>0.18</c:v>
                </c:pt>
                <c:pt idx="6">
                  <c:v>0.06</c:v>
                </c:pt>
                <c:pt idx="7">
                  <c:v>0.05</c:v>
                </c:pt>
                <c:pt idx="8">
                  <c:v>0.08</c:v>
                </c:pt>
                <c:pt idx="9">
                  <c:v>7.0000000000000007E-2</c:v>
                </c:pt>
                <c:pt idx="10">
                  <c:v>0.22</c:v>
                </c:pt>
                <c:pt idx="11">
                  <c:v>0.23</c:v>
                </c:pt>
                <c:pt idx="12">
                  <c:v>0.09</c:v>
                </c:pt>
                <c:pt idx="13">
                  <c:v>0.1</c:v>
                </c:pt>
                <c:pt idx="14">
                  <c:v>0.04</c:v>
                </c:pt>
                <c:pt idx="15">
                  <c:v>0.08</c:v>
                </c:pt>
                <c:pt idx="16">
                  <c:v>0.17</c:v>
                </c:pt>
                <c:pt idx="17">
                  <c:v>0.01</c:v>
                </c:pt>
                <c:pt idx="18">
                  <c:v>0.05</c:v>
                </c:pt>
                <c:pt idx="19">
                  <c:v>7.0000000000000007E-2</c:v>
                </c:pt>
                <c:pt idx="20">
                  <c:v>0.18</c:v>
                </c:pt>
                <c:pt idx="21">
                  <c:v>0.15</c:v>
                </c:pt>
                <c:pt idx="22">
                  <c:v>0.14000000000000001</c:v>
                </c:pt>
                <c:pt idx="23">
                  <c:v>0.03</c:v>
                </c:pt>
                <c:pt idx="24">
                  <c:v>7.0000000000000007E-2</c:v>
                </c:pt>
                <c:pt idx="25">
                  <c:v>0.11</c:v>
                </c:pt>
                <c:pt idx="26">
                  <c:v>0.09</c:v>
                </c:pt>
                <c:pt idx="27">
                  <c:v>0.03</c:v>
                </c:pt>
                <c:pt idx="28">
                  <c:v>0.05</c:v>
                </c:pt>
                <c:pt idx="29">
                  <c:v>0.02</c:v>
                </c:pt>
                <c:pt idx="30">
                  <c:v>0.06</c:v>
                </c:pt>
                <c:pt idx="31">
                  <c:v>7.0000000000000007E-2</c:v>
                </c:pt>
                <c:pt idx="32">
                  <c:v>0</c:v>
                </c:pt>
                <c:pt idx="33">
                  <c:v>0.02</c:v>
                </c:pt>
                <c:pt idx="34">
                  <c:v>0.02</c:v>
                </c:pt>
                <c:pt idx="35">
                  <c:v>0.05</c:v>
                </c:pt>
                <c:pt idx="37">
                  <c:v>0.03</c:v>
                </c:pt>
                <c:pt idx="38">
                  <c:v>0.03</c:v>
                </c:pt>
                <c:pt idx="39">
                  <c:v>0.02</c:v>
                </c:pt>
                <c:pt idx="40">
                  <c:v>0.09</c:v>
                </c:pt>
              </c:numCache>
            </c:numRef>
          </c:val>
          <c:extLst>
            <c:ext xmlns:c16="http://schemas.microsoft.com/office/drawing/2014/chart" uri="{C3380CC4-5D6E-409C-BE32-E72D297353CC}">
              <c16:uniqueId val="{00000002-A08D-4FC1-B8B8-71B51148F6ED}"/>
            </c:ext>
          </c:extLst>
        </c:ser>
        <c:dLbls>
          <c:dLblPos val="ctr"/>
          <c:showLegendKey val="0"/>
          <c:showVal val="1"/>
          <c:showCatName val="0"/>
          <c:showSerName val="0"/>
          <c:showPercent val="0"/>
          <c:showBubbleSize val="0"/>
        </c:dLbls>
        <c:gapWidth val="150"/>
        <c:overlap val="100"/>
        <c:axId val="896697440"/>
        <c:axId val="896696480"/>
      </c:barChart>
      <c:catAx>
        <c:axId val="896697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s-AR"/>
          </a:p>
        </c:txPr>
        <c:crossAx val="896696480"/>
        <c:crosses val="autoZero"/>
        <c:auto val="1"/>
        <c:lblAlgn val="ctr"/>
        <c:lblOffset val="100"/>
        <c:noMultiLvlLbl val="0"/>
      </c:catAx>
      <c:valAx>
        <c:axId val="896696480"/>
        <c:scaling>
          <c:orientation val="minMax"/>
        </c:scaling>
        <c:delete val="1"/>
        <c:axPos val="b"/>
        <c:numFmt formatCode="0%" sourceLinked="1"/>
        <c:majorTickMark val="none"/>
        <c:minorTickMark val="none"/>
        <c:tickLblPos val="nextTo"/>
        <c:crossAx val="8966974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s-A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solidFill>
            <a:sysClr val="windowText" lastClr="000000"/>
          </a:solidFill>
          <a:latin typeface="Calibri" panose="020F0502020204030204" pitchFamily="34" charset="0"/>
          <a:cs typeface="Calibri" panose="020F0502020204030204" pitchFamily="34" charset="0"/>
        </a:defRPr>
      </a:pPr>
      <a:endParaRPr lang="es-A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2357120790855731E-2"/>
          <c:y val="6.4724919093851127E-2"/>
          <c:w val="0.97322623828647936"/>
          <c:h val="0.67888934448066018"/>
        </c:manualLayout>
      </c:layout>
      <c:barChart>
        <c:barDir val="col"/>
        <c:grouping val="clustered"/>
        <c:varyColors val="0"/>
        <c:ser>
          <c:idx val="0"/>
          <c:order val="0"/>
          <c:tx>
            <c:strRef>
              <c:f>Hoja1!$B$1</c:f>
              <c:strCache>
                <c:ptCount val="1"/>
                <c:pt idx="0">
                  <c:v>Se ha logrado definitivamente + en cierta medida</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Hoja1!$A$2:$A$18</c:f>
              <c:strCache>
                <c:ptCount val="17"/>
                <c:pt idx="0">
                  <c:v>Total</c:v>
                </c:pt>
                <c:pt idx="1">
                  <c:v>Hombres</c:v>
                </c:pt>
                <c:pt idx="2">
                  <c:v>Mujeres</c:v>
                </c:pt>
                <c:pt idx="3">
                  <c:v>18-24</c:v>
                </c:pt>
                <c:pt idx="4">
                  <c:v>25-34</c:v>
                </c:pt>
                <c:pt idx="5">
                  <c:v>35-49</c:v>
                </c:pt>
                <c:pt idx="6">
                  <c:v>50-64</c:v>
                </c:pt>
                <c:pt idx="7">
                  <c:v>65 y +</c:v>
                </c:pt>
                <c:pt idx="8">
                  <c:v>Primaria</c:v>
                </c:pt>
                <c:pt idx="9">
                  <c:v>Secundaria</c:v>
                </c:pt>
                <c:pt idx="10">
                  <c:v>Superior</c:v>
                </c:pt>
                <c:pt idx="11">
                  <c:v>ABC1</c:v>
                </c:pt>
                <c:pt idx="12">
                  <c:v>C2C3</c:v>
                </c:pt>
                <c:pt idx="13">
                  <c:v>DE</c:v>
                </c:pt>
                <c:pt idx="14">
                  <c:v>Caba</c:v>
                </c:pt>
                <c:pt idx="15">
                  <c:v>Gba</c:v>
                </c:pt>
                <c:pt idx="16">
                  <c:v>Interior</c:v>
                </c:pt>
              </c:strCache>
            </c:strRef>
          </c:cat>
          <c:val>
            <c:numRef>
              <c:f>Hoja1!$B$2:$B$18</c:f>
              <c:numCache>
                <c:formatCode>###0%</c:formatCode>
                <c:ptCount val="17"/>
                <c:pt idx="0">
                  <c:v>0.65371432640080984</c:v>
                </c:pt>
                <c:pt idx="1">
                  <c:v>0.66908038880631238</c:v>
                </c:pt>
                <c:pt idx="2">
                  <c:v>0.63936825323424762</c:v>
                </c:pt>
                <c:pt idx="3">
                  <c:v>0.60532240379523128</c:v>
                </c:pt>
                <c:pt idx="4">
                  <c:v>0.66322582147517295</c:v>
                </c:pt>
                <c:pt idx="5">
                  <c:v>0.68234126709258458</c:v>
                </c:pt>
                <c:pt idx="6">
                  <c:v>0.66097701325045333</c:v>
                </c:pt>
                <c:pt idx="7">
                  <c:v>0.64488415574814695</c:v>
                </c:pt>
                <c:pt idx="8">
                  <c:v>0.59603401806217038</c:v>
                </c:pt>
                <c:pt idx="9">
                  <c:v>0.67567847127151193</c:v>
                </c:pt>
                <c:pt idx="10">
                  <c:v>0.68532442673200666</c:v>
                </c:pt>
                <c:pt idx="11">
                  <c:v>0.69407659039904768</c:v>
                </c:pt>
                <c:pt idx="12">
                  <c:v>0.68502467287604096</c:v>
                </c:pt>
                <c:pt idx="13">
                  <c:v>0.60020085234330989</c:v>
                </c:pt>
                <c:pt idx="14">
                  <c:v>0.67963166561986998</c:v>
                </c:pt>
                <c:pt idx="15">
                  <c:v>0.65189372190227846</c:v>
                </c:pt>
                <c:pt idx="16">
                  <c:v>0.65169523027369836</c:v>
                </c:pt>
              </c:numCache>
            </c:numRef>
          </c:val>
          <c:extLst>
            <c:ext xmlns:c16="http://schemas.microsoft.com/office/drawing/2014/chart" uri="{C3380CC4-5D6E-409C-BE32-E72D297353CC}">
              <c16:uniqueId val="{00000000-660E-4421-BB0D-ED91DE191951}"/>
            </c:ext>
          </c:extLst>
        </c:ser>
        <c:dLbls>
          <c:dLblPos val="outEnd"/>
          <c:showLegendKey val="0"/>
          <c:showVal val="1"/>
          <c:showCatName val="0"/>
          <c:showSerName val="0"/>
          <c:showPercent val="0"/>
          <c:showBubbleSize val="0"/>
        </c:dLbls>
        <c:gapWidth val="219"/>
        <c:overlap val="-27"/>
        <c:axId val="898007392"/>
        <c:axId val="898008352"/>
      </c:barChart>
      <c:catAx>
        <c:axId val="89800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s-AR"/>
          </a:p>
        </c:txPr>
        <c:crossAx val="898008352"/>
        <c:crosses val="autoZero"/>
        <c:auto val="1"/>
        <c:lblAlgn val="ctr"/>
        <c:lblOffset val="100"/>
        <c:noMultiLvlLbl val="0"/>
      </c:catAx>
      <c:valAx>
        <c:axId val="898008352"/>
        <c:scaling>
          <c:orientation val="minMax"/>
        </c:scaling>
        <c:delete val="1"/>
        <c:axPos val="l"/>
        <c:numFmt formatCode="###0%" sourceLinked="1"/>
        <c:majorTickMark val="none"/>
        <c:minorTickMark val="none"/>
        <c:tickLblPos val="nextTo"/>
        <c:crossAx val="8980073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solidFill>
            <a:sysClr val="windowText" lastClr="000000"/>
          </a:solidFill>
          <a:latin typeface="Calibri" panose="020F0502020204030204" pitchFamily="34" charset="0"/>
          <a:cs typeface="Calibri" panose="020F0502020204030204" pitchFamily="34" charset="0"/>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0.03094</cdr:x>
      <cdr:y>0.37356</cdr:y>
    </cdr:from>
    <cdr:to>
      <cdr:x>0.99186</cdr:x>
      <cdr:y>0.39648</cdr:y>
    </cdr:to>
    <cdr:sp macro="" textlink="">
      <cdr:nvSpPr>
        <cdr:cNvPr id="2" name="Rectángulo 1"/>
        <cdr:cNvSpPr/>
      </cdr:nvSpPr>
      <cdr:spPr>
        <a:xfrm xmlns:a="http://schemas.openxmlformats.org/drawingml/2006/main">
          <a:off x="180948" y="2918872"/>
          <a:ext cx="5619796" cy="179090"/>
        </a:xfrm>
        <a:prstGeom xmlns:a="http://schemas.openxmlformats.org/drawingml/2006/main" prst="rect">
          <a:avLst/>
        </a:prstGeom>
        <a:noFill xmlns:a="http://schemas.openxmlformats.org/drawingml/2006/main"/>
        <a:ln xmlns:a="http://schemas.openxmlformats.org/drawingml/2006/main">
          <a:solidFill>
            <a:srgbClr val="EE0000"/>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s-AR" kern="1200"/>
        </a:p>
      </cdr:txBody>
    </cdr:sp>
  </cdr:relSizeAnchor>
  <cdr:relSizeAnchor xmlns:cdr="http://schemas.openxmlformats.org/drawingml/2006/chartDrawing">
    <cdr:from>
      <cdr:x>0.03637</cdr:x>
      <cdr:y>0.056</cdr:y>
    </cdr:from>
    <cdr:to>
      <cdr:x>0.99729</cdr:x>
      <cdr:y>0.07892</cdr:y>
    </cdr:to>
    <cdr:sp macro="" textlink="">
      <cdr:nvSpPr>
        <cdr:cNvPr id="3" name="Rectángulo 2"/>
        <cdr:cNvSpPr/>
      </cdr:nvSpPr>
      <cdr:spPr>
        <a:xfrm xmlns:a="http://schemas.openxmlformats.org/drawingml/2006/main">
          <a:off x="212704" y="437558"/>
          <a:ext cx="5619797" cy="179089"/>
        </a:xfrm>
        <a:prstGeom xmlns:a="http://schemas.openxmlformats.org/drawingml/2006/main" prst="rect">
          <a:avLst/>
        </a:prstGeom>
        <a:noFill xmlns:a="http://schemas.openxmlformats.org/drawingml/2006/main"/>
        <a:ln xmlns:a="http://schemas.openxmlformats.org/drawingml/2006/main">
          <a:solidFill>
            <a:srgbClr val="EE0000"/>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es-AR" kern="1200">
            <a:solidFill>
              <a:schemeClr val="bg2">
                <a:lumMod val="90000"/>
              </a:schemeClr>
            </a:solidFill>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uzVPJ2oxYYYVNlVcmid2HJgqEw==">CgMxLjA4AHIhMUtWODFCWV95cXdpcnlDSFZhcjNEV2pCcUU1RTVMblVD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2025-09-03T20:10:00Z</dcterms:created>
  <dc:creator>Juana Haines</dc:creator>
</cp:coreProperties>
</file>